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Cracker Barrel Old Country Store,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1,631,772.00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1,631,772.00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1,631,772.00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1,626,094.00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1,626,094.00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1,626,094.00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Valence Portfolios,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1,117,863.00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1,117,863.00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1,117,863.00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1,631,772.00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1,631,772.00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1,631,772.00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Cracker Barrel Old Country Store, Inc.</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 Hartmann Drive, Lebanon, TN 37087-4779</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2.</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 E. Shaw &amp; Co., L.L.C. D. E. Shaw Valence Portfolios, L.L.C. David E. Shaw</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 E. Shaw &amp; Co., L.L.C. is a limited liability company organized under the laws of the state of Delaware. D. E. Shaw Valence Portfolios, L.L.C. is a limited liability company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(f)</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(g)</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(h)</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(j)</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(k)</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9036" w:type="dxa"/>
            <w:gridSpan w:val="2"/>
            <w:tcBorders/>
            <w:vAlign w:val="center"/>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4.</w:t>
            </w:r>
          </w:p>
        </w:tc>
        <w:tc>
          <w:tcPr>
            <w:tcW w:w="88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1,631,772 shares This is composed of (i) 1,064,863 shares in the name of D. E. Shaw Valence Portfolios, L.L.C., (ii) 53,000 shares that D. E. Shaw Valence Portfolios, L.L.C. has the right to acquire through the exercise of call options, (iii) 287,600 shares in the name of D. E. Shaw Cogence Portfolios, L.L.C., (iv) 214,921 shares in the name of D. E. Shaw Oculus Portfolios, L.L.C., (v) 5,410 shares in the name of D. E. Shaw Composite Portfolios, L.L.C., and (vi) 5,978 shares under the management of D. E. Shaw Investment Management, L.L.C. D. E. Shaw &amp; Co., L.L.C.: 1,626,094 shares This is composed of (i) 1,064,863 shares in the name of D. E. Shaw Valence Portfolios, L.L.C., (ii) 53,000 shares that D. E. Shaw Valence Portfolios, L.L.C. has the right to acquire through the exercise of call options, (iii) 287,600 shares in the name of D. E. Shaw Cogence Portfolios, L.L.C., (iv) 214,921 shares in the name of D. E. Shaw Oculus Portfolios, L.L.C., (v) 5,410 shares in the name of D. E. Shaw Composite Portfolios, L.L.C., and (vi) 300 shares in the name of D. E. Shaw Investment Management Special Investment Fund, L.L.C. D. E. Shaw Valence Portfolios, L.L.C.: 1,117,863 shares This is composed of (i) 1,064,863 shares in the name of D. E. Shaw Valence Portfolios, L.L.C. and (ii) 53,000 shares that D. E. Shaw Valence Portfolios, L.L.C. has the right to acquire through the exercise of call options. David E. Shaw: 1,631,772 shares This is composed of (i) 1,064,863 shares in the name of D. E. Shaw Valence Portfolios, L.L.C., (ii) 53,000 shares that D. E. Shaw Valence Portfolios, L.L.C. has the right to acquire through the exercise of call options, (iii) 287,600 shares in the name of D. E. Shaw Cogence Portfolios, L.L.C., (iv) 214,921 shares in the name of D. E. Shaw Oculus Portfolios, L.L.C., (v) 5,410 shares in the name of D. E. Shaw Composite Portfolios, L.L.C., and (vi) 5,978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D. E. Shaw Cogence Portfolios, L.L.C., D. E. Shaw Oculus Portfolios, L.L.C., and D. E. Shaw Composite Portfolios, L.L.C. and the managing member of D. E. Shaw Investment Management, L.L.C., which in turn is the investment adviser of D. E. Shaw Investment Management Special Investment Fund, L.L.C., and by virtue of David E. Shaw's position as President and sole shareholder of D. E. Shaw &amp; Co. II, Inc., which is the managing member of D. E. Shaw &amp; Co., L.L.C., which in turn is the manager of D. E. Shaw Valence Portfolios, L.L.C., D. E. Shaw Cogence Portfolios, L.L.C., D. E. Shaw Oculus Portfolios, L.L.C., D. E. Shaw Composite Portfolios, L.L.C., and D. E. Shaw Investment Management Special Investment Fund, L.L.C., David E. Shaw may be deemed to have the shared power to vote or direct the vote of, and the shared power to dispose or direct the disposition of, the 1,631,772 shares as described above constituting 7.3% of the outstanding shares, and, therefore, David E. Shaw may be deemed to be the beneficial owner of such shares. David E. Shaw disclaims beneficial ownership of such 1,631,772 shares.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7.3% D. E. Shaw &amp; Co., L.L.C.: 7.3% D. E. Shaw Valence Portfolios, L.L.C.: 5.0% David E. Shaw: 7.3%  %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1,631,772 shares D. E. Shaw &amp; Co., L.L.C.: 1,626,094 shares D. E. Shaw Valence Portfolios, L.L.C.: 1,117,863 shares David E. Shaw: 1,631,772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1,631,772 shares D. E. Shaw &amp; Co., L.L.C.: 1,626,094 shares D. E. Shaw Valence Portfolios, L.L.C.: 1,117,863 shares David E. Shaw: 1,631,772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8.</w:t>
            </w:r>
          </w:p>
        </w:tc>
        <w:tc>
          <w:tcPr>
            <w:tcW w:w="88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9.</w:t>
            </w:r>
          </w:p>
        </w:tc>
        <w:tc>
          <w:tcPr>
            <w:tcW w:w="88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 Exhibit 2: Power of Attorney, granted by David E. Shaw relating to D. E. Shaw &amp; Co. II, Inc., in favor of the signatories hereto, among others, dated August 1, 2024.</w:t>
      </w:r>
    </w:p>
    <w:tbl>
      <w:tblPr>
        <w:tblW w:w="8986" w:type="dxa"/>
        <w:jc w:val="left"/>
        <w:tblInd w:w="0" w:type="dxa"/>
        <w:tblLayout w:type="fixed"/>
        <w:tblCellMar>
          <w:top w:w="28" w:type="dxa"/>
          <w:left w:w="28" w:type="dxa"/>
          <w:bottom w:w="28" w:type="dxa"/>
          <w:right w:w="28" w:type="dxa"/>
        </w:tblCellMar>
      </w:tblPr>
      <w:tblGrid>
        <w:gridCol w:w="8986"/>
      </w:tblGrid>
      <w:tr>
        <w:trPr/>
        <w:tc>
          <w:tcPr>
            <w:tcW w:w="8986" w:type="dxa"/>
            <w:tcBorders/>
            <w:vAlign w:val="center"/>
          </w:tcPr>
          <w:p>
            <w:pPr>
              <w:pStyle w:val="TableContents"/>
              <w:bidi w:val="0"/>
              <w:spacing w:before="0" w:after="283"/>
              <w:jc w:val="center"/>
              <w:rPr>
                <w:b/>
              </w:rPr>
            </w:pPr>
            <w:r>
              <w:rPr>
                <w:b/>
              </w:rPr>
              <w:t xml:space="preserve">Exhibit Information </w:t>
            </w:r>
          </w:p>
        </w:tc>
      </w:tr>
      <w:tr>
        <w:trPr/>
        <w:tc>
          <w:tcPr>
            <w:tcW w:w="8986" w:type="dxa"/>
            <w:tcBorders/>
            <w:vAlign w:val="center"/>
          </w:tcPr>
          <w:p>
            <w:pPr>
              <w:pStyle w:val="TableContents"/>
              <w:bidi w:val="0"/>
              <w:spacing w:before="0" w:after="283"/>
              <w:jc w:val="left"/>
              <w:rPr/>
            </w:pPr>
            <w:r>
              <w:rPr/>
              <w:t>Exhibit 3: Joint Filing Agreement, by and among the Reporting Persons, dated July 13, 2026.</w:t>
            </w:r>
          </w:p>
        </w:tc>
      </w:tr>
    </w:tbl>
    <w:p>
      <w:pPr>
        <w:pStyle w:val="TextBody"/>
        <w:bidi w:val="0"/>
        <w:jc w:val="left"/>
        <w:rPr/>
      </w:pPr>
      <w:bookmarkStart w:id="28" w:name="tm2620164d1_ex-1.htm"/>
      <w:bookmarkStart w:id="29" w:name="kstm2620164d1_ex1"/>
      <w:bookmarkEnd w:id="28"/>
      <w:bookmarkEnd w:id="29"/>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620164d1_ex-2.htm"/>
      <w:bookmarkStart w:id="31" w:name="kstm2620164d1_ex2"/>
      <w:bookmarkEnd w:id="30"/>
      <w:bookmarkEnd w:id="31"/>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2" w:name="tm2620164d1_ex-3.htm"/>
      <w:bookmarkStart w:id="33" w:name="kstm2620164d1_ex3"/>
      <w:bookmarkEnd w:id="32"/>
      <w:bookmarkEnd w:id="3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(Par Value $0.01), of Cracker Barrel Old Country Store,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13th day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462"/>
        <w:gridCol w:w="258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D. E. Shaw Valence Portfolios, L.L.C.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2587"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9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2985</Words>
  <Characters>14846</Characters>
  <CharactersWithSpaces>17770</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