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Cracker Barrel Old Country Store,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1,136,847.00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1,136,847.00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1,136,847.00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1,136,647.00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1,136,647.00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1,136,647.00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E. Shaw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1,136,847.00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1,136,847.00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1,136,847.00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Cracker Barrel Old Country Store,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5019"/>
        <w:spacing w:after="0"/>
        <w:rPr>
          <w:sz w:val="20"/>
          <w:szCs w:val="20"/>
          <w:color w:val="auto"/>
        </w:rPr>
      </w:pPr>
      <w:r>
        <w:rPr>
          <w:rFonts w:ascii="Times New Roman" w:cs="Times New Roman" w:eastAsia="Times New Roman" w:hAnsi="Times New Roman"/>
          <w:sz w:val="22"/>
          <w:szCs w:val="22"/>
          <w:color w:val="auto"/>
        </w:rPr>
        <w:t>305 Hartmann Drive, Lebanon, TN 37087-4779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ind w:left="920" w:right="4520"/>
        <w:spacing w:after="0" w:line="310" w:lineRule="auto"/>
        <w:rPr>
          <w:sz w:val="20"/>
          <w:szCs w:val="20"/>
          <w:color w:val="auto"/>
        </w:rPr>
      </w:pPr>
      <w:r>
        <w:rPr>
          <w:rFonts w:ascii="Times New Roman" w:cs="Times New Roman" w:eastAsia="Times New Roman" w:hAnsi="Times New Roman"/>
          <w:sz w:val="22"/>
          <w:szCs w:val="22"/>
          <w:color w:val="auto"/>
        </w:rPr>
        <w:t>D. E. Shaw &amp; Co., L.P. D. E. Shaw &amp; Co., L.L.C. David E. Shaw Address or principal business office or, if none, residence:</w:t>
      </w:r>
    </w:p>
    <w:p>
      <w:pPr>
        <w:spacing w:after="0" w:line="130" w:lineRule="exact"/>
        <w:rPr>
          <w:sz w:val="20"/>
          <w:szCs w:val="20"/>
          <w:color w:val="auto"/>
        </w:rPr>
      </w:pPr>
    </w:p>
    <w:p>
      <w:pPr>
        <w:ind w:left="920" w:right="3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business address for each reporting person is: Two Manhattan West 375 Ninth Avenue, 52nd Floor New York, NY 10001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jc w:val="both"/>
        <w:ind w:left="920" w:right="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 E. Shaw &amp; Co., L.P. is a limited partnership organized under the laws of the state of Delaware. D. E. Shaw &amp; Co., L.L.C. is a limited liability company organized under the laws of the state of Delaware. David E. Shaw is a citizen of the United States of America.</w:t>
      </w:r>
    </w:p>
    <w:p>
      <w:pPr>
        <w:sectPr>
          <w:pgSz w:w="11900" w:h="16838" w:orient="portrait"/>
          <w:cols w:equalWidth="0" w:num="1">
            <w:col w:w="11120"/>
          </w:cols>
          <w:pgMar w:left="360" w:top="112" w:right="4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D. E. Shaw &amp; Co., L.P.: 1,136,847 shares This is composed of (i) 636,492 shares in the name of D. E. Shaw Valence Portfolios, L.L.C., (ii) 181,300 shares that D. E. Shaw Valence Portfolios, L.L.C. has the right to acquire through the exercise of call options, (iii) 225,000 shares in the name of D. E. Shaw Cogence Portfolios, L.L.C., (iv) 93,699 shares in the name of D. E. Shaw Oculus Portfolios, L.L.C., (v) 156 shares in the name of D. E. Shaw Composite Portfolios, L.L.C., and (vi) 200 shares under the management of D. E. Shaw Investment Management, L.L.C. D. E. Shaw &amp; Co., L.L.C.: 1,136,647 shares This is composed of (i) 636,492 shares in the name of D. E. Shaw Valence Portfolios, L.L.C., (ii) 181,300 shares that D. E. Shaw Valence Portfolios, L.L.C. has the right to acquire through the exercise of call options, (iii) 225,000 shares in the name of D. E. Shaw Cogence Portfolios, L.L.C., (iv) 93,699 shares in the name of D. E. Shaw Oculus Portfolios, L.L.C., and (v) 156 shares in the name of D. E. Shaw Composite Portfolios, L.L.C. David E. Shaw: 1,136,847 shares This is composed of (i) 636,492 shares in the name of D. E. Shaw Valence Portfolios, L.L.C., (ii) 181,300 shares that D. E. Shaw Valence Portfolios, L.L.C. has the right to acquire through the</w:t>
      </w:r>
    </w:p>
    <w:p>
      <w:pPr>
        <w:spacing w:after="0" w:line="8" w:lineRule="exact"/>
        <w:rPr>
          <w:sz w:val="20"/>
          <w:szCs w:val="20"/>
          <w:color w:val="auto"/>
        </w:rPr>
      </w:pPr>
    </w:p>
    <w:p>
      <w:pPr>
        <w:ind w:left="920" w:hanging="912"/>
        <w:spacing w:after="0" w:line="241"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of call options, (iii) 225,000 shares in the name of D. E. Shaw Cogence Portfolios, L.L.C., (iv) 93,699 shares in the name of D. E. Shaw Oculus Portfolios, L.L.C., (v) 156 shares in the name of D. E. Shaw Composite Portfolios, L.L.C., and (vi) 200 shares under the management of D. E. Shaw Investment Management, L.L.C. David E. Shaw does not own any shares directly. By virtue of David E. Shaw's position as President and sole shareholder of D. E. Shaw &amp; Co., Inc., which is the general partner of D. E. Shaw &amp; Co., L.P., which in turn is the investment adviser of D. E. Shaw Valence Portfolios, L.L.C., D. E. Shaw Cogence Portfolios, L.L.C., D. E. Shaw Oculus Portfolios, L.L.C., and D. E. Shaw Composite Portfolios, L.L.C. and the managing member of D. E. Shaw Investment Management, L.L.C., and by virtue of David E. Shaw's position as President and sole shareholder of D. E. Shaw &amp; Co. II, Inc., which is the managing member of D. E. Shaw &amp; Co., L.L.C., which in turn is the manager of D. E. Shaw Valence Portfolios, L.L.C., D. E. Shaw Cogence Portfolios, L.L.C., D. E. Shaw Oculus Portfolios, L.L.C., and D. E. Shaw Composite Portfolios, L.L.C., David E. Shaw may be deemed to have the shared power to vote or direct the vote of, and the shared power to dispose or direct the disposition of, the 1,136,847 shares as described above constituting</w:t>
      </w:r>
    </w:p>
    <w:p>
      <w:pPr>
        <w:spacing w:after="0" w:line="6" w:lineRule="exact"/>
        <w:rPr>
          <w:rFonts w:ascii="Times New Roman" w:cs="Times New Roman" w:eastAsia="Times New Roman" w:hAnsi="Times New Roman"/>
          <w:sz w:val="21"/>
          <w:szCs w:val="21"/>
          <w:color w:val="auto"/>
        </w:rPr>
      </w:pPr>
    </w:p>
    <w:p>
      <w:pPr>
        <w:ind w:left="920" w:right="4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5.1% of the outstanding shares, and, therefore, David E. Shaw may be deemed to be the beneficial owner of such shares. David E. Shaw disclaims beneficial ownership of such 1,136,847 shares.</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 E. Shaw &amp; Co., L.P.: 5.1% D. E. Shaw &amp; Co., L.L.C.: 5.1% David E. Shaw: 5.1% %</w:t>
      </w:r>
    </w:p>
    <w:p>
      <w:pPr>
        <w:sectPr>
          <w:pgSz w:w="11900" w:h="16838" w:orient="portrait"/>
          <w:cols w:equalWidth="0" w:num="1">
            <w:col w:w="11120"/>
          </w:cols>
          <w:pgMar w:left="360" w:top="112" w:right="419" w:bottom="0" w:gutter="0" w:footer="0" w:header="0"/>
          <w:type w:val="continuous"/>
        </w:sectPr>
      </w:pPr>
    </w:p>
    <w:bookmarkStart w:id="4" w:name="page5"/>
    <w:bookmarkEnd w:id="4"/>
    <w:p>
      <w:pPr>
        <w:ind w:left="960" w:hanging="912"/>
        <w:spacing w:after="0"/>
        <w:tabs>
          <w:tab w:leader="none" w:pos="9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80"/>
          </w:cols>
          <w:pgMar w:left="32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 Shaw &amp; Co., L.P.: 0 shares D. E. Shaw &amp; Co., L.L.C.: 0 shares David E. Shaw: 0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D. E. Shaw &amp; Co., L.P.: 1,136,847 shares D. E. Shaw &amp; Co., L.L.C.: 1,136,647 shares David E. Shaw: 1,136,847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 Shaw &amp; Co., L.P.: 0 shares D. E. Shaw &amp; Co., L.L.C.: 0 shares David E. Shaw: 0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D. E. Shaw &amp; Co., L.P.: 1,136,847 shares D. E. Shaw &amp; Co., L.L.C.: 1,136,647 shares David E. Shaw: 1,136,847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112" w:right="399" w:bottom="0" w:gutter="0" w:footer="0" w:header="0"/>
          <w:type w:val="continuous"/>
        </w:sect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152" w:lineRule="exact"/>
        <w:rPr>
          <w:sz w:val="20"/>
          <w:szCs w:val="20"/>
          <w:color w:val="auto"/>
        </w:rPr>
      </w:pPr>
    </w:p>
    <w:p>
      <w:pPr>
        <w:ind w:left="5280"/>
        <w:spacing w:after="0"/>
        <w:tabs>
          <w:tab w:leader="none" w:pos="6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Daniel R. Marcus / Chief Compliance Officer</w:t>
      </w:r>
    </w:p>
    <w:p>
      <w:pPr>
        <w:spacing w:after="0" w:line="44" w:lineRule="exact"/>
        <w:rPr>
          <w:sz w:val="20"/>
          <w:szCs w:val="20"/>
          <w:color w:val="auto"/>
        </w:rPr>
      </w:pPr>
    </w:p>
    <w:p>
      <w:pPr>
        <w:ind w:left="5280"/>
        <w:spacing w:after="0"/>
        <w:tabs>
          <w:tab w:leader="none" w:pos="6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Daniel R. Marcus / Authorized Signatory</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David E. Shaw</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35"/>
          <w:szCs w:val="35"/>
          <w:color w:val="auto"/>
          <w:vertAlign w:val="subscript"/>
        </w:rPr>
        <w:t>Name/Title:</w:t>
      </w:r>
      <w:r>
        <w:rPr>
          <w:rFonts w:ascii="Times New Roman" w:cs="Times New Roman" w:eastAsia="Times New Roman" w:hAnsi="Times New Roman"/>
          <w:sz w:val="19"/>
          <w:szCs w:val="19"/>
          <w:color w:val="auto"/>
        </w:rPr>
        <w:t xml:space="preserve"> Daniel</w:t>
      </w:r>
      <w:r>
        <w:rPr>
          <w:rFonts w:ascii="Times New Roman" w:cs="Times New Roman" w:eastAsia="Times New Roman" w:hAnsi="Times New Roman"/>
          <w:sz w:val="35"/>
          <w:szCs w:val="35"/>
          <w:color w:val="auto"/>
          <w:vertAlign w:val="subscript"/>
        </w:rPr>
        <w:t>Shaw</w:t>
      </w:r>
      <w:r>
        <w:rPr>
          <w:rFonts w:ascii="Times New Roman" w:cs="Times New Roman" w:eastAsia="Times New Roman" w:hAnsi="Times New Roman"/>
          <w:sz w:val="19"/>
          <w:szCs w:val="19"/>
          <w:color w:val="auto"/>
        </w:rPr>
        <w:t xml:space="preserve"> R. Marcus / Attorney-in-Fact for David E.</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1: Power of Attorney, granted by David E. Shaw relating to D. E. Shaw &amp; Co.,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 in favor of the signatories hereto, among others, dated August 1, 2024. Exhibit 2: Power of Attorney, granted by David E.</w:t>
      </w:r>
    </w:p>
    <w:p>
      <w:pPr>
        <w:spacing w:after="0"/>
        <w:rPr>
          <w:sz w:val="20"/>
          <w:szCs w:val="20"/>
          <w:color w:val="auto"/>
        </w:rPr>
      </w:pPr>
      <w:r>
        <w:rPr>
          <w:rFonts w:ascii="Times New Roman" w:cs="Times New Roman" w:eastAsia="Times New Roman" w:hAnsi="Times New Roman"/>
          <w:sz w:val="22"/>
          <w:szCs w:val="22"/>
          <w:color w:val="auto"/>
        </w:rPr>
        <w:t>Shaw relating to D. E. Shaw &amp; Co. II, Inc., in favor of the signatories hereto, among others, dated August 1, 2024.</w:t>
      </w:r>
    </w:p>
    <w:p>
      <w:pPr>
        <w:sectPr>
          <w:pgSz w:w="11900" w:h="16838" w:orient="portrait"/>
          <w:cols w:equalWidth="0" w:num="1">
            <w:col w:w="11180"/>
          </w:cols>
          <w:pgMar w:left="320" w:top="112" w:right="399" w:bottom="0" w:gutter="0" w:footer="0" w:header="0"/>
          <w:type w:val="continuous"/>
        </w:sectPr>
      </w:pPr>
    </w:p>
    <w:bookmarkStart w:id="5" w:name="page6"/>
    <w:bookmarkEnd w:id="5"/>
    <w:p>
      <w:pPr>
        <w:jc w:val="center"/>
        <w:ind w:right="20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3: Joint Filing Agreement, by and among the Reporting Persons, dated June 22, 2026.</w:t>
      </w:r>
    </w:p>
    <w:p>
      <w:pPr>
        <w:sectPr>
          <w:pgSz w:w="11900" w:h="16838" w:orient="portrait"/>
          <w:cols w:equalWidth="0" w:num="1">
            <w:col w:w="10099"/>
          </w:cols>
          <w:pgMar w:left="360" w:top="108" w:right="144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3" w:lineRule="exact"/>
        <w:rPr>
          <w:sz w:val="20"/>
          <w:szCs w:val="20"/>
          <w:color w:val="auto"/>
        </w:rPr>
      </w:pPr>
    </w:p>
    <w:p>
      <w:pPr>
        <w:jc w:val="both"/>
        <w:ind w:right="140" w:firstLine="8"/>
        <w:spacing w:after="0" w:line="255"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2" w:lineRule="exact"/>
        <w:rPr>
          <w:sz w:val="20"/>
          <w:szCs w:val="20"/>
          <w:color w:val="auto"/>
        </w:rPr>
      </w:pPr>
    </w:p>
    <w:p>
      <w:pPr>
        <w:jc w:val="both"/>
        <w:ind w:right="140" w:firstLine="8"/>
        <w:spacing w:after="0" w:line="255"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 w:name="page9"/>
    <w:bookmarkEnd w:id="8"/>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3</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Common Stock (Par Value $0.01), of Cracker Barrel Old Country Store, Inc., and that this Agreement be included as an Exhibit to such joint filing. This Agreement may be executed in any number of counterparts, all of which taken together shall constitute one and the same instrument.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this 22nd day of June, 2026.</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&amp; Co.,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&amp; Co.,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E. Shaw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3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2026-06-22T15:28:48Z</dcterms:created>
  <dcterms:modified xsi:type="dcterms:W3CDTF">2026-06-22T15:28:48Z</dcterms:modified>
</cp:coreProperties>
</file>