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June 21, 2021 (June 18, 2021)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CRACKER BARREL OLD COUNTRY STORE,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29" w:right="339" w:bottom="1440" w:gutter="0" w:footer="0" w:header="0"/>
        </w:sectPr>
      </w:pPr>
    </w:p>
    <w:p>
      <w:pPr>
        <w:spacing w:after="0" w:line="205"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Tennessee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001-25225</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62-0812904</w:t>
      </w:r>
    </w:p>
    <w:p>
      <w:pPr>
        <w:spacing w:after="0" w:line="27"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00" w:space="720"/>
            <w:col w:w="3280" w:space="720"/>
            <w:col w:w="2420"/>
          </w:cols>
          <w:pgMar w:left="320" w:top="729" w:right="339" w:bottom="1440" w:gutter="0" w:footer="0" w:header="0"/>
          <w:type w:val="continuous"/>
        </w:sectPr>
      </w:pPr>
    </w:p>
    <w:p>
      <w:pPr>
        <w:spacing w:after="0" w:line="7" w:lineRule="exact"/>
        <w:rPr>
          <w:sz w:val="24"/>
          <w:szCs w:val="24"/>
          <w:color w:val="auto"/>
        </w:rPr>
      </w:pPr>
    </w:p>
    <w:p>
      <w:pPr>
        <w:ind w:left="3760"/>
        <w:spacing w:after="0"/>
        <w:rPr>
          <w:sz w:val="20"/>
          <w:szCs w:val="20"/>
          <w:color w:val="auto"/>
        </w:rPr>
      </w:pPr>
      <w:r>
        <w:rPr>
          <w:rFonts w:ascii="Arial" w:cs="Arial" w:eastAsia="Arial" w:hAnsi="Arial"/>
          <w:sz w:val="17"/>
          <w:szCs w:val="17"/>
          <w:b w:val="1"/>
          <w:bCs w:val="1"/>
          <w:color w:val="auto"/>
        </w:rPr>
        <w:t>305 Hartmann Drive, Lebanon, Tennessee 37087</w:t>
      </w:r>
    </w:p>
    <w:p>
      <w:pPr>
        <w:spacing w:after="0" w:line="3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(615) 444-5533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29" w:right="339" w:bottom="1440" w:gutter="0" w:footer="0" w:header="0"/>
          <w:type w:val="continuous"/>
        </w:sect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00" w:firstLine="453"/>
        <w:spacing w:after="0" w:line="516" w:lineRule="auto"/>
        <w:tabs>
          <w:tab w:leader="none" w:pos="8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4080" w:type="dxa"/>
            <w:vAlign w:val="bottom"/>
          </w:tcPr>
          <w:p>
            <w:pPr>
              <w:jc w:val="center"/>
              <w:ind w:right="550"/>
              <w:spacing w:after="0"/>
              <w:rPr>
                <w:sz w:val="20"/>
                <w:szCs w:val="20"/>
                <w:color w:val="auto"/>
              </w:rPr>
            </w:pPr>
            <w:r>
              <w:rPr>
                <w:rFonts w:ascii="Arial" w:cs="Arial" w:eastAsia="Arial" w:hAnsi="Arial"/>
                <w:sz w:val="18"/>
                <w:szCs w:val="18"/>
                <w:color w:val="auto"/>
                <w:w w:val="88"/>
              </w:rPr>
              <w:t>Title of each class</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860" w:type="dxa"/>
            <w:vAlign w:val="bottom"/>
          </w:tcPr>
          <w:p>
            <w:pPr>
              <w:jc w:val="center"/>
              <w:ind w:left="590"/>
              <w:spacing w:after="0"/>
              <w:rPr>
                <w:sz w:val="20"/>
                <w:szCs w:val="20"/>
                <w:color w:val="auto"/>
              </w:rPr>
            </w:pPr>
            <w:r>
              <w:rPr>
                <w:rFonts w:ascii="Arial" w:cs="Arial" w:eastAsia="Arial" w:hAnsi="Arial"/>
                <w:sz w:val="18"/>
                <w:szCs w:val="18"/>
                <w:color w:val="auto"/>
                <w:w w:val="89"/>
              </w:rPr>
              <w:t>Name of each exchange on which registered</w:t>
            </w:r>
          </w:p>
        </w:tc>
      </w:tr>
      <w:tr>
        <w:trPr>
          <w:trHeight w:val="256"/>
        </w:trPr>
        <w:tc>
          <w:tcPr>
            <w:tcW w:w="4080" w:type="dxa"/>
            <w:vAlign w:val="bottom"/>
          </w:tcPr>
          <w:p>
            <w:pPr>
              <w:jc w:val="center"/>
              <w:ind w:right="550"/>
              <w:spacing w:after="0"/>
              <w:rPr>
                <w:sz w:val="20"/>
                <w:szCs w:val="20"/>
                <w:color w:val="auto"/>
              </w:rPr>
            </w:pPr>
            <w:r>
              <w:rPr>
                <w:rFonts w:ascii="Arial" w:cs="Arial" w:eastAsia="Arial" w:hAnsi="Arial"/>
                <w:sz w:val="18"/>
                <w:szCs w:val="18"/>
                <w:color w:val="auto"/>
                <w:w w:val="90"/>
              </w:rPr>
              <w:t>Common Stock (Par Value $0.01)</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CBRL</w:t>
            </w:r>
          </w:p>
        </w:tc>
        <w:tc>
          <w:tcPr>
            <w:tcW w:w="3860" w:type="dxa"/>
            <w:vAlign w:val="bottom"/>
          </w:tcPr>
          <w:p>
            <w:pPr>
              <w:jc w:val="center"/>
              <w:ind w:left="610"/>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080" w:type="dxa"/>
            <w:vAlign w:val="bottom"/>
          </w:tcPr>
          <w:p>
            <w:pPr>
              <w:jc w:val="center"/>
              <w:ind w:right="550"/>
              <w:spacing w:after="0"/>
              <w:rPr>
                <w:sz w:val="20"/>
                <w:szCs w:val="20"/>
                <w:color w:val="auto"/>
              </w:rPr>
            </w:pPr>
            <w:r>
              <w:rPr>
                <w:rFonts w:ascii="Arial" w:cs="Arial" w:eastAsia="Arial" w:hAnsi="Arial"/>
                <w:sz w:val="18"/>
                <w:szCs w:val="18"/>
                <w:color w:val="auto"/>
                <w:w w:val="89"/>
              </w:rPr>
              <w:t>Rights to Purchase Series A Junior Participating</w:t>
            </w:r>
          </w:p>
        </w:tc>
        <w:tc>
          <w:tcPr>
            <w:tcW w:w="2660" w:type="dxa"/>
            <w:vAlign w:val="bottom"/>
          </w:tcPr>
          <w:p>
            <w:pPr>
              <w:spacing w:after="0"/>
              <w:rPr>
                <w:sz w:val="18"/>
                <w:szCs w:val="18"/>
                <w:color w:val="auto"/>
              </w:rPr>
            </w:pPr>
          </w:p>
        </w:tc>
        <w:tc>
          <w:tcPr>
            <w:tcW w:w="3860" w:type="dxa"/>
            <w:vAlign w:val="bottom"/>
          </w:tcPr>
          <w:p>
            <w:pPr>
              <w:jc w:val="center"/>
              <w:ind w:left="610"/>
              <w:spacing w:after="0"/>
              <w:rPr>
                <w:sz w:val="20"/>
                <w:szCs w:val="20"/>
                <w:color w:val="auto"/>
              </w:rPr>
            </w:pPr>
            <w:r>
              <w:rPr>
                <w:rFonts w:ascii="Arial" w:cs="Arial" w:eastAsia="Arial" w:hAnsi="Arial"/>
                <w:sz w:val="18"/>
                <w:szCs w:val="18"/>
                <w:color w:val="auto"/>
                <w:w w:val="91"/>
              </w:rPr>
              <w:t>(Nasdaq Global Select Market)</w:t>
            </w:r>
          </w:p>
        </w:tc>
      </w:tr>
      <w:tr>
        <w:trPr>
          <w:trHeight w:val="230"/>
        </w:trPr>
        <w:tc>
          <w:tcPr>
            <w:tcW w:w="4080" w:type="dxa"/>
            <w:vAlign w:val="bottom"/>
          </w:tcPr>
          <w:p>
            <w:pPr>
              <w:jc w:val="center"/>
              <w:ind w:right="550"/>
              <w:spacing w:after="0"/>
              <w:rPr>
                <w:sz w:val="20"/>
                <w:szCs w:val="20"/>
                <w:color w:val="auto"/>
              </w:rPr>
            </w:pPr>
            <w:r>
              <w:rPr>
                <w:rFonts w:ascii="Arial" w:cs="Arial" w:eastAsia="Arial" w:hAnsi="Arial"/>
                <w:sz w:val="18"/>
                <w:szCs w:val="18"/>
                <w:color w:val="auto"/>
                <w:w w:val="89"/>
              </w:rPr>
              <w:t>Preferred Stock (Par Value $0.01)</w:t>
            </w:r>
          </w:p>
        </w:tc>
        <w:tc>
          <w:tcPr>
            <w:tcW w:w="2660" w:type="dxa"/>
            <w:vAlign w:val="bottom"/>
          </w:tcPr>
          <w:p>
            <w:pPr>
              <w:spacing w:after="0"/>
              <w:rPr>
                <w:sz w:val="20"/>
                <w:szCs w:val="20"/>
                <w:color w:val="auto"/>
              </w:rPr>
            </w:pPr>
          </w:p>
        </w:tc>
        <w:tc>
          <w:tcPr>
            <w:tcW w:w="3860" w:type="dxa"/>
            <w:vAlign w:val="bottom"/>
          </w:tcPr>
          <w:p>
            <w:pPr>
              <w:spacing w:after="0"/>
              <w:rPr>
                <w:sz w:val="20"/>
                <w:szCs w:val="20"/>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Notes and the Indenture</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On June 18, 2021, Cracker Barrel Old Country Store, Inc., a Tennessee corporation (the “Company”), closed its previously announced issuance and sale of $300 million aggregate principal amount of 0.625% Convertible Senior Notes due 2026 (the “Notes”), which included the exercise in full of the initial purchasers’ option to purchase up to an additional $25 million principal amount of the Notes. The aggregate net proceeds to the Company from the issuance and sale of the $300 million aggregate principal amount of the Notes were approximately $291.1 million, after deducting the initial purchasers’ discounts and commissions and the Company’s estimated offering fees and expenses.</w:t>
      </w:r>
    </w:p>
    <w:p>
      <w:pPr>
        <w:spacing w:after="0" w:line="17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Notes were issued pursuant to an indenture, dated June 18, 2021 (the “Indenture”), between the Company and U.S. Bank National Association, as trustee (the “Trustee”), and are the Company’s unsecured, unsubordinated obligations and are (i) equal in right of payment with the Company’s existing and future senior, unsecured indebtedness; (ii) senior in right of payment to the Company’s existing and future indebtedness that is expressly subordinated in right of payment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that the Company is not a holder thereof) preferred equity, if any, of the Company’s subsidiaries.</w:t>
      </w:r>
    </w:p>
    <w:p>
      <w:pPr>
        <w:spacing w:after="0" w:line="16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Notes bear cash interest at a rate of 0.625% per annum, payable semi-annually in arrears on June 15 and December 15 of each year, beginning on December 15, 2021. The Notes mature on June 15, 2026, unless earlier converted, repurchased or redeemed. Noteholders may convert their Notes at their option only in the following circumstances:</w:t>
      </w:r>
    </w:p>
    <w:p>
      <w:pPr>
        <w:spacing w:after="0" w:line="184" w:lineRule="exact"/>
        <w:rPr>
          <w:sz w:val="20"/>
          <w:szCs w:val="20"/>
          <w:color w:val="auto"/>
        </w:rPr>
      </w:pPr>
    </w:p>
    <w:p>
      <w:pPr>
        <w:ind w:left="980" w:right="100" w:hanging="648"/>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2021, if the last reported sale price per share of the Company’s common stock for each of at least 20 trading days, whether or not consecutive, during the 30 consecutive trading days ending on, and including, the last trading day of the immediately preceding calendar quarter, exceeds 130% of the conversion price then in effect on each applicable trading day, as determined by the Company in good faith;</w:t>
      </w:r>
    </w:p>
    <w:p>
      <w:pPr>
        <w:spacing w:after="0" w:line="186" w:lineRule="exact"/>
        <w:rPr>
          <w:rFonts w:ascii="Arial" w:cs="Arial" w:eastAsia="Arial" w:hAnsi="Arial"/>
          <w:sz w:val="18"/>
          <w:szCs w:val="18"/>
          <w:color w:val="auto"/>
        </w:rPr>
      </w:pPr>
    </w:p>
    <w:p>
      <w:pPr>
        <w:ind w:left="980" w:right="40" w:hanging="648"/>
        <w:spacing w:after="0" w:line="279"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five consecutive business days immediately after any ten consecutive trading day period (such ten consecutive trading day period, the “Measurement Period”) if the trading price per $1,000 principal amount of Notes for each trading day of the Measurement Period was less than 98% of the product of the last reported sale price per share of the Company’s common stock on such trading day and the conversion rate on such trading day, subject to compliance with certain procedures and conditions, as set forth in the Indenture;</w:t>
      </w:r>
    </w:p>
    <w:p>
      <w:pPr>
        <w:spacing w:after="0" w:line="171" w:lineRule="exact"/>
        <w:rPr>
          <w:rFonts w:ascii="Arial" w:cs="Arial" w:eastAsia="Arial" w:hAnsi="Arial"/>
          <w:sz w:val="17"/>
          <w:szCs w:val="17"/>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as set forth in the Indenture;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the Company calls all or any Notes for redemption (provided that only Notes called for redemption shall become convertible); and</w:t>
      </w:r>
    </w:p>
    <w:p>
      <w:pPr>
        <w:spacing w:after="0" w:line="236" w:lineRule="exact"/>
        <w:rPr>
          <w:rFonts w:ascii="Arial" w:cs="Arial" w:eastAsia="Arial" w:hAnsi="Arial"/>
          <w:sz w:val="17"/>
          <w:szCs w:val="17"/>
          <w:color w:val="auto"/>
        </w:rPr>
      </w:pPr>
    </w:p>
    <w:p>
      <w:pPr>
        <w:ind w:left="980" w:right="220" w:hanging="648"/>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any time from, and including, December 15, 2025 until the close of business on the second scheduled trading day immediately before the maturity date.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will settle any conversions by paying or delivering, as applicable, cash or, if applicable and at the Company’s election, a combination of cash (which shall not be less than $1,000 for each $1,000 principal amount of Notes being settled) and shares of the Company’s common stock, based on the applicable conversion rate(s) at the time of each such conversion. The consideration due upon conversion will be determined over an observation period consisting of 25 “VWAP Trading Days” (as defined in the Indenture). The initial conversion rate is 5.3153 shares of the Company’s common stock per $1,000 principal amount of Notes, which represents an initial conversion price of approximately $188.14 per share of the Company’s common stock, a premium of 25.0% over the last reported sale price of $150.51 per share on June 15, 2021, the date on which the Notes were priced.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Notes will be redeemable, in whole or in part (so long as any partial redemptions do not result in less than $50.0 million principal amount of Notes outstanding), at the Company’s option at any time, and from time to time, on or after June 15, 2024 and on or before the 25th scheduled trading day immediately before the maturity date, at a cash redemption price equal to the principal amount of the Notes to be redeemed, plus accrued and unpaid interest thereon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ind w:right="40" w:firstLine="648"/>
        <w:spacing w:after="0" w:line="301" w:lineRule="auto"/>
        <w:rPr>
          <w:sz w:val="20"/>
          <w:szCs w:val="20"/>
          <w:color w:val="auto"/>
        </w:rPr>
      </w:pPr>
      <w:r>
        <w:rPr>
          <w:rFonts w:ascii="Arial" w:cs="Arial" w:eastAsia="Arial" w:hAnsi="Arial"/>
          <w:sz w:val="16"/>
          <w:szCs w:val="16"/>
          <w:color w:val="auto"/>
        </w:rPr>
        <w:t>If certain corporate events that constitute a “Fundamental Change” (as defined in the Indenture) occur, then noteholders will have the right to require the Company to repurchase their Notes at a cash repurchase price equal to the principal amount of the Notes to be repurchased, plus accrued and unpaid interest thereon to, but excluding, the “Fundamental Change Repurchase Date” (as defined in the Indenture). The definition of Fundamental Change includes certain business combination transactions involving the Company and certain de-listing events with respect to the Company’s common stock.</w:t>
      </w:r>
    </w:p>
    <w:p>
      <w:pPr>
        <w:spacing w:after="0" w:line="15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Indenture does not contain any financial or operating covenants or restrictions on the payments of dividends, the incurrence of indebtedness or the issuance or repurchase of securities by the Company or any of its subsidiaries. The Indenture contains customary terms and covenants and events of default. If any event of default (other than certain events of bankruptcy, insolvency or reorganization involving the Company) occurs and is continuing, then the Trustee, by written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 If an event of default involving certain events of bankruptcy, insolvency or reorganization occurs, then the principal amount of, and all accrued and unpaid interest on, all of the Notes then outstanding will immediately become due and payable without any further action or notice by any person. However, notwithstanding the foregoing, the Company may elect, at its option, that the sole remedy for an event of default relating to certain failures by the Company to comply with certain reporting covenants in the Indenture will consist exclusively of the right of the noteholders to receive special interest on the Notes for up to 180 calendar days during which such event of default has occurred and is continuing, at a specified rate for the first 90 days of 0.25% per annum, and thereafter at a rate of 0.50% per annum, on the principal amount of the Notes.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connection with the issuance of the Notes, the Company entered into privately negotiated convertible note hedge transactions (the “Convertible Note Hedge Transactions”) with certain of the initial purchasers of the Notes (the “Initial Purchasers”) and/or their respective affiliates and other financial institutions (in this capacity, the “Hedge Counterparties”). Concurrently with the Company’s entry into the Convertible Note Hedge Transactions, the Company also entered into separate, privately negotiated warrant transactions with the Hedge Counterparties collectively relating to the same number of shares of the Company’s common stock underlying the Notes, which initially is approximately 1.6 million shares, subject to customary anti-dilution adjustments, and for which the Company received premiums that partially offset the cost of entering into the Convertible Note Hedge Transactions (the “Warrant Transactions” and, collectively with the Convertible Note Hedge Transactions, the “Convertible Note Hedge and Warrant Transactions”).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Convertible Note Hedge Transactions cover, subject to customary anti-dilution adjustments substantially similar to those applicable to the Notes, approximately 1.6 million shares, the number of shares of the Company’s common stock initially underlying the Notes. The Convertible Note Hedge Transactions are intended to reduce the potential dilution with respect to the Company’s common stock or offset any potential cash payments the Company is required to make in excess of the principal amount of converted Notes, as the case may be, in the event that the market price of the Company’s common stock is greater than the strike price of the Convertible Note Hedge Transactions, which is initially $188.1361 per share of the Company’s common stock. The Warrant Transactions could separately have a dilutive effect on the Company’s common stock to the extent that the market price of the Company’s common stock, as measured under the terms of the Warrant Transactions, exceeds the strike price of the warrants, which is initially $263.3925, representing a premium of 75% to the $150.51 per share last reported sale price of the Company’s common stock on June 15, 2021. Initially, a maximum of 1,993,200 shares of the Company’s common stock may be issued upon conversion of the Notes, based on the initial maximum conversion rate of 6.6440 shares of common stock per $1,000 principal amount of Notes, which is subject to customary anti-dilution adjustment provisions. The number of shares of the Company’s common stock issuable pursuant to the Warrants is limited to a contractual maximum of 3,189,180 shares.</w:t>
      </w:r>
    </w:p>
    <w:p>
      <w:pPr>
        <w:spacing w:after="0" w:line="17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portion of the net proceeds to the Company from the offering of the Notes that was used to pay the premium on the Convertible Note Hedge Transactions (calculated after taking into account the proceeds to the Company from the Warrant Transactions) was approximately $30.3 million.</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Convertible Note Hedge and Warrant Transactions are not part of the terms of the Notes and will not affect any noteholder’s rights under the Notes. Noteholders will not have any rights with respect to the Convertible Note Hedge and Warrant Transactions.</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 copy of the Indenture and the Form of 0.625% Convertible Senior Note due 2026 are filed as Exhibits 4.1 and 4.2, respectively, to this Current Report on Form 8-K (this “Form 8-K”) and are incorporated herein by reference, and the forms of the confirmations with respect to the (i) Convertible Note Hedge Transactions and (ii) Warrant Transactions are filed as Exhibits 10.1 and 10.2, respectively, to this Form 8-K and are incorporated herein by reference. The above descriptions of the Indenture, the Notes and the Convertible Note Hedge and Warrant Transactions are summaries, are not complete and are qualified in their entirety by reference to the terms of the Indenture, the Notes and forms of confirmations filed as exhibits 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Relationships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Certain of the Initial Purchasers and/or their affiliates act as lenders and/or agents under the Company’s revolving credit facility and will therefore receive a portion of the proceeds by reason of the repayment of outstanding borrowings under the Company’s revolving credit facility. Certain of the Initial Purchasers or their respective affiliates also entered into the Convertible Note Hedge and Warrant Transactions with the Company and received a portion of the net proceeds from the offering of the Notes applied to those transactions. The Trustee and/or certain of its affiliates act as lenders and/or agents under the Company’s revolving credit facility and may also hold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extent applicable, the disclosure set forth in Item 1.01 above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To the extent applicable, the disclosure set forth in Item 1.01 above is incorporated by reference into this Item 3.02. The Notes were issued to the Initial Purchasers in reliance upon Section 4(a)(2) of the Securities Act of 1933, as amended (the “Securities Act”) in transactions not involving any public offering. The Initial Purchasers are initially offering the Notes only to persons whom the Initial Purchasers reasonably believe are “qualified institutional buyers,” as defined in, and in accordance with, Rule 144A under the Securities Act. The Company relied on these exemptions from registration based in part on representations made by the Initial Purchasers. Any shares of the Company’s common stock that may be issued upon conversion of the Notes will be issued in reliance upon Section 3(a)(9) of the Securities Act as involving an exchange by the Company exclusively with its security holders. The Notes and the Company’s common stock issuable upon conversion of the Notes have not been registered under the Securities Act and may not be offered or sold in the United States absent registration or an applicable exemption from registration requirements.</w:t>
      </w:r>
    </w:p>
    <w:p>
      <w:pPr>
        <w:spacing w:after="0" w:line="16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issuance and sale by the Company of the warrants in the Warrant Transactions to the Hedge Counterparties was made in reliance upon Section 4(a)(2) of the Securities Act in transactions not involving any public offering.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w:t>
            </w:r>
          </w:p>
        </w:tc>
        <w:tc>
          <w:tcPr>
            <w:tcW w:w="1580" w:type="dxa"/>
            <w:vAlign w:val="bottom"/>
            <w:gridSpan w:val="5"/>
          </w:tcPr>
          <w:p>
            <w:pPr>
              <w:spacing w:after="0"/>
              <w:rPr>
                <w:sz w:val="20"/>
                <w:szCs w:val="20"/>
                <w:color w:val="auto"/>
              </w:rPr>
            </w:pPr>
            <w:r>
              <w:rPr>
                <w:rFonts w:ascii="Arial" w:cs="Arial" w:eastAsia="Arial" w:hAnsi="Arial"/>
                <w:sz w:val="18"/>
                <w:szCs w:val="18"/>
                <w:color w:val="auto"/>
              </w:rPr>
              <w:t>Exhibits</w:t>
            </w:r>
            <w:r>
              <w:rPr>
                <w:rFonts w:ascii="Arial" w:cs="Arial" w:eastAsia="Arial" w:hAnsi="Arial"/>
                <w:sz w:val="18"/>
                <w:szCs w:val="18"/>
                <w:i w:val="1"/>
                <w:iCs w:val="1"/>
                <w:color w:val="auto"/>
              </w:rPr>
              <w:t>.</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660" w:type="dxa"/>
            <w:vAlign w:val="bottom"/>
          </w:tcPr>
          <w:p>
            <w:pPr>
              <w:spacing w:after="0"/>
              <w:rPr>
                <w:sz w:val="24"/>
                <w:szCs w:val="24"/>
                <w:color w:val="auto"/>
              </w:rPr>
            </w:pPr>
          </w:p>
        </w:tc>
        <w:tc>
          <w:tcPr>
            <w:tcW w:w="400" w:type="dxa"/>
            <w:vAlign w:val="bottom"/>
            <w:tcBorders>
              <w:top w:val="single" w:sz="8" w:color="auto"/>
            </w:tcBorders>
            <w:gridSpan w:val="3"/>
          </w:tcPr>
          <w:p>
            <w:pPr>
              <w:ind w:left="100"/>
              <w:spacing w:after="0"/>
              <w:rPr>
                <w:rFonts w:ascii="Arial" w:cs="Arial" w:eastAsia="Arial" w:hAnsi="Arial"/>
                <w:sz w:val="18"/>
                <w:szCs w:val="18"/>
                <w:color w:val="0000EE"/>
              </w:rPr>
            </w:pPr>
            <w:hyperlink w:anchor="page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900" w:type="dxa"/>
            <w:vAlign w:val="bottom"/>
            <w:tcBorders>
              <w:top w:val="single" w:sz="8" w:color="auto"/>
            </w:tcBorders>
            <w:gridSpan w:val="6"/>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Indenture, dated as of June 18, 2021, by and between Cracker Barrel Old Country Store, Inc., and U.S. Bank National</w:t>
              </w:r>
            </w:hyperlink>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Association, as trustee.</w:t>
              </w:r>
            </w:hyperlink>
          </w:p>
        </w:tc>
        <w:tc>
          <w:tcPr>
            <w:tcW w:w="714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660" w:type="dxa"/>
            <w:vAlign w:val="bottom"/>
          </w:tcPr>
          <w:p>
            <w:pPr>
              <w:spacing w:after="0"/>
              <w:rPr>
                <w:sz w:val="24"/>
                <w:szCs w:val="24"/>
                <w:color w:val="auto"/>
              </w:rPr>
            </w:pPr>
          </w:p>
        </w:tc>
        <w:tc>
          <w:tcPr>
            <w:tcW w:w="400" w:type="dxa"/>
            <w:vAlign w:val="bottom"/>
            <w:gridSpan w:val="3"/>
          </w:tcPr>
          <w:p>
            <w:pPr>
              <w:ind w:left="100"/>
              <w:spacing w:after="0"/>
              <w:rPr>
                <w:rFonts w:ascii="Arial" w:cs="Arial" w:eastAsia="Arial" w:hAnsi="Arial"/>
                <w:sz w:val="18"/>
                <w:szCs w:val="18"/>
                <w:color w:val="0000EE"/>
              </w:rPr>
            </w:pPr>
            <w:hyperlink w:anchor="page6">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gridSpan w:val="6"/>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Form of 0.625% Convertible Senior Note due 2026 (incorporated by reference to Exhibit A to Exhibit 4.1 hereof).</w:t>
              </w:r>
            </w:hyperlink>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00" w:type="dxa"/>
            <w:vAlign w:val="bottom"/>
            <w:gridSpan w:val="3"/>
          </w:tcPr>
          <w:p>
            <w:pPr>
              <w:ind w:left="100"/>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gridSpan w:val="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Form of Convertible Note Hedge Transactions confirmation.</w:t>
              </w:r>
            </w:hyperlink>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00" w:type="dxa"/>
            <w:vAlign w:val="bottom"/>
            <w:gridSpan w:val="3"/>
          </w:tcPr>
          <w:p>
            <w:pPr>
              <w:ind w:left="10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gridSpan w:val="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Form of Warrant Transactions confirmation.</w:t>
              </w:r>
            </w:hyperlink>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400" w:type="dxa"/>
            <w:vAlign w:val="bottom"/>
            <w:gridSpan w:val="3"/>
          </w:tcPr>
          <w:p>
            <w:pPr>
              <w:ind w:left="100"/>
              <w:spacing w:after="0"/>
              <w:rPr>
                <w:sz w:val="20"/>
                <w:szCs w:val="20"/>
                <w:color w:val="auto"/>
              </w:rPr>
            </w:pPr>
            <w:r>
              <w:rPr>
                <w:rFonts w:ascii="Arial" w:cs="Arial" w:eastAsia="Arial" w:hAnsi="Arial"/>
                <w:sz w:val="18"/>
                <w:szCs w:val="18"/>
                <w:color w:val="auto"/>
                <w:w w:val="93"/>
              </w:rPr>
              <w:t>104</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 Wolfson</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 Wolfson</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General Counsel &amp; Corp. Secretary</w:t>
            </w:r>
          </w:p>
        </w:tc>
      </w:tr>
      <w:tr>
        <w:trPr>
          <w:trHeight w:val="67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349250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366395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168910</wp:posOffset>
            </wp:positionV>
            <wp:extent cx="3840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June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160655</wp:posOffset>
            </wp:positionV>
            <wp:extent cx="3840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0.625% Convertible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349250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366395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812165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340" w:type="dxa"/>
            <w:vAlign w:val="bottom"/>
          </w:tcPr>
          <w:p>
            <w:pPr>
              <w:ind w:left="328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Article 1.</w:t>
            </w:r>
          </w:p>
        </w:tc>
        <w:tc>
          <w:tcPr>
            <w:tcW w:w="9900" w:type="dxa"/>
            <w:vAlign w:val="bottom"/>
            <w:gridSpan w:val="2"/>
          </w:tcPr>
          <w:p>
            <w:pPr>
              <w:ind w:left="140"/>
              <w:spacing w:after="0"/>
              <w:rPr>
                <w:sz w:val="20"/>
                <w:szCs w:val="20"/>
                <w:color w:val="auto"/>
              </w:rPr>
            </w:pPr>
            <w:r>
              <w:rPr>
                <w:rFonts w:ascii="Arial" w:cs="Arial" w:eastAsia="Arial" w:hAnsi="Arial"/>
                <w:sz w:val="18"/>
                <w:szCs w:val="18"/>
                <w:color w:val="auto"/>
              </w:rPr>
              <w:t>Definitions; Rules of Construction</w:t>
            </w:r>
          </w:p>
        </w:tc>
        <w:tc>
          <w:tcPr>
            <w:tcW w:w="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1.01.</w:t>
            </w:r>
          </w:p>
        </w:tc>
        <w:tc>
          <w:tcPr>
            <w:tcW w:w="93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1.02.</w:t>
            </w:r>
          </w:p>
        </w:tc>
        <w:tc>
          <w:tcPr>
            <w:tcW w:w="934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1.03.  Rules of Construction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 2.</w:t>
            </w:r>
          </w:p>
        </w:tc>
        <w:tc>
          <w:tcPr>
            <w:tcW w:w="9900" w:type="dxa"/>
            <w:vAlign w:val="bottom"/>
            <w:gridSpan w:val="2"/>
          </w:tcPr>
          <w:p>
            <w:pPr>
              <w:ind w:left="140"/>
              <w:spacing w:after="0"/>
              <w:rPr>
                <w:sz w:val="20"/>
                <w:szCs w:val="20"/>
                <w:color w:val="auto"/>
              </w:rPr>
            </w:pPr>
            <w:r>
              <w:rPr>
                <w:rFonts w:ascii="Arial" w:cs="Arial" w:eastAsia="Arial" w:hAnsi="Arial"/>
                <w:sz w:val="18"/>
                <w:szCs w:val="18"/>
                <w:color w:val="auto"/>
              </w:rPr>
              <w:t>The Notes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2.01.  Form, Dating and Denominations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2.02.  Execution, Authentication and Delivery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2.03.  Initial Notes and Additional Notes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2.04.  Method of Payment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2.05.  Accrual of Interest; Defaulted Amounts; When Payment Date is Not a Business Day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2.06.  Registrar, Paying Agent and Conversion Agent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2.07.  Paying Agent and Conversion Agent to Hold Property in Trust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2.08.</w:t>
            </w:r>
          </w:p>
        </w:tc>
        <w:tc>
          <w:tcPr>
            <w:tcW w:w="934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2.09.</w:t>
            </w:r>
          </w:p>
        </w:tc>
        <w:tc>
          <w:tcPr>
            <w:tcW w:w="9340" w:type="dxa"/>
            <w:vAlign w:val="bottom"/>
          </w:tcPr>
          <w:p>
            <w:pPr>
              <w:ind w:left="100"/>
              <w:spacing w:after="0"/>
              <w:rPr>
                <w:sz w:val="20"/>
                <w:szCs w:val="20"/>
                <w:color w:val="auto"/>
              </w:rPr>
            </w:pPr>
            <w:r>
              <w:rPr>
                <w:rFonts w:ascii="Arial" w:cs="Arial" w:eastAsia="Arial" w:hAnsi="Arial"/>
                <w:sz w:val="18"/>
                <w:szCs w:val="18"/>
                <w:color w:val="auto"/>
              </w:rPr>
              <w:t>Legends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2.10.  Transfers and Exchanges; Certain Transfer Restrictions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w w:val="91"/>
              </w:rPr>
              <w:t>Section 2.11.  Exchange and Cancellation of Notes to Be Converted or Repurchased Pursuant to a Repurchase Upon Fundamental Change or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Redemption</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2.12.  Removal of Transfer Restrictions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2.13.</w:t>
            </w:r>
          </w:p>
        </w:tc>
        <w:tc>
          <w:tcPr>
            <w:tcW w:w="934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2.14.  Registered Holders; Certain Rights with Respect to Global Notes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2.15.</w:t>
            </w:r>
          </w:p>
        </w:tc>
        <w:tc>
          <w:tcPr>
            <w:tcW w:w="934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2.16.  Notes Held by the Company or its Affiliates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2.17.</w:t>
            </w:r>
          </w:p>
        </w:tc>
        <w:tc>
          <w:tcPr>
            <w:tcW w:w="934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2.18.</w:t>
            </w:r>
          </w:p>
        </w:tc>
        <w:tc>
          <w:tcPr>
            <w:tcW w:w="934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2.19.  Repurchases by the Company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2.20.  CUSIP and ISIN Numbers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 3.</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Covenants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3.01.  Payment on Notes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3.02.  Exchange Act Reports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3.03.  Rule 144A Information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3.04.</w:t>
            </w:r>
          </w:p>
        </w:tc>
        <w:tc>
          <w:tcPr>
            <w:tcW w:w="9340" w:type="dxa"/>
            <w:vAlign w:val="bottom"/>
          </w:tcPr>
          <w:p>
            <w:pPr>
              <w:ind w:left="100"/>
              <w:spacing w:after="0"/>
              <w:rPr>
                <w:sz w:val="20"/>
                <w:szCs w:val="20"/>
                <w:color w:val="auto"/>
              </w:rPr>
            </w:pPr>
            <w:r>
              <w:rPr>
                <w:rFonts w:ascii="Arial" w:cs="Arial" w:eastAsia="Arial" w:hAnsi="Arial"/>
                <w:sz w:val="18"/>
                <w:szCs w:val="18"/>
                <w:color w:val="auto"/>
              </w:rPr>
              <w:t>Additional Interest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3.05.  Compliance and Default Certificates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3.06.  Stay, Extension and Usury Laws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3.07.  Notes Acquired by the Company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3.08.</w:t>
            </w:r>
          </w:p>
        </w:tc>
        <w:tc>
          <w:tcPr>
            <w:tcW w:w="9340" w:type="dxa"/>
            <w:vAlign w:val="bottom"/>
          </w:tcPr>
          <w:p>
            <w:pPr>
              <w:ind w:left="100"/>
              <w:spacing w:after="0"/>
              <w:rPr>
                <w:sz w:val="20"/>
                <w:szCs w:val="20"/>
                <w:color w:val="auto"/>
              </w:rPr>
            </w:pPr>
            <w:r>
              <w:rPr>
                <w:rFonts w:ascii="Arial" w:cs="Arial" w:eastAsia="Arial" w:hAnsi="Arial"/>
                <w:sz w:val="18"/>
                <w:szCs w:val="18"/>
                <w:color w:val="auto"/>
              </w:rPr>
              <w:t>Existence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 4.</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Repurchase and Redemption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4.01.  No Sinking Fund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720" w:type="dxa"/>
            <w:vAlign w:val="bottom"/>
            <w:gridSpan w:val="3"/>
          </w:tcPr>
          <w:p>
            <w:pPr>
              <w:ind w:left="340"/>
              <w:spacing w:after="0"/>
              <w:rPr>
                <w:sz w:val="20"/>
                <w:szCs w:val="20"/>
                <w:color w:val="auto"/>
              </w:rPr>
            </w:pPr>
            <w:r>
              <w:rPr>
                <w:rFonts w:ascii="Arial" w:cs="Arial" w:eastAsia="Arial" w:hAnsi="Arial"/>
                <w:sz w:val="18"/>
                <w:szCs w:val="18"/>
                <w:color w:val="auto"/>
              </w:rPr>
              <w:t>Section 4.02.  Right of Holders to Require the Company to Repurchase Notes upon a Fundamental Change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4.03.</w:t>
            </w:r>
          </w:p>
        </w:tc>
        <w:tc>
          <w:tcPr>
            <w:tcW w:w="9340" w:type="dxa"/>
            <w:vAlign w:val="bottom"/>
          </w:tcPr>
          <w:p>
            <w:pPr>
              <w:ind w:left="100"/>
              <w:spacing w:after="0"/>
              <w:rPr>
                <w:sz w:val="20"/>
                <w:szCs w:val="20"/>
                <w:color w:val="auto"/>
              </w:rPr>
            </w:pPr>
            <w:r>
              <w:rPr>
                <w:rFonts w:ascii="Arial" w:cs="Arial" w:eastAsia="Arial" w:hAnsi="Arial"/>
                <w:sz w:val="18"/>
                <w:szCs w:val="18"/>
                <w:color w:val="auto"/>
              </w:rPr>
              <w:t>Optional Right of Redemption by the Company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702"/>
        </w:trPr>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Article 5.</w:t>
            </w:r>
          </w:p>
        </w:tc>
        <w:tc>
          <w:tcPr>
            <w:tcW w:w="10020" w:type="dxa"/>
            <w:vAlign w:val="bottom"/>
            <w:gridSpan w:val="2"/>
          </w:tcPr>
          <w:p>
            <w:pPr>
              <w:ind w:left="160"/>
              <w:spacing w:after="0"/>
              <w:rPr>
                <w:sz w:val="20"/>
                <w:szCs w:val="20"/>
                <w:color w:val="auto"/>
              </w:rPr>
            </w:pPr>
            <w:r>
              <w:rPr>
                <w:rFonts w:ascii="Arial" w:cs="Arial" w:eastAsia="Arial" w:hAnsi="Arial"/>
                <w:sz w:val="18"/>
                <w:szCs w:val="18"/>
                <w:color w:val="auto"/>
              </w:rPr>
              <w:t>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5.01.  Right to Convert</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5.02.</w:t>
            </w:r>
          </w:p>
        </w:tc>
        <w:tc>
          <w:tcPr>
            <w:tcW w:w="9480" w:type="dxa"/>
            <w:vAlign w:val="bottom"/>
          </w:tcPr>
          <w:p>
            <w:pPr>
              <w:ind w:left="100"/>
              <w:spacing w:after="0"/>
              <w:rPr>
                <w:sz w:val="20"/>
                <w:szCs w:val="20"/>
                <w:color w:val="auto"/>
              </w:rPr>
            </w:pPr>
            <w:r>
              <w:rPr>
                <w:rFonts w:ascii="Arial" w:cs="Arial" w:eastAsia="Arial" w:hAnsi="Arial"/>
                <w:sz w:val="18"/>
                <w:szCs w:val="18"/>
                <w:color w:val="auto"/>
              </w:rPr>
              <w:t>Conversion Procedures</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5.03.  Settlement upon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5.04.  Reserve and Status of Common Stock Issued upon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5.05.  Adjustments to the Conversion Rate</w:t>
            </w: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5.06.</w:t>
            </w:r>
          </w:p>
        </w:tc>
        <w:tc>
          <w:tcPr>
            <w:tcW w:w="9480" w:type="dxa"/>
            <w:vAlign w:val="bottom"/>
          </w:tcPr>
          <w:p>
            <w:pPr>
              <w:ind w:left="100"/>
              <w:spacing w:after="0"/>
              <w:rPr>
                <w:sz w:val="20"/>
                <w:szCs w:val="20"/>
                <w:color w:val="auto"/>
              </w:rPr>
            </w:pPr>
            <w:r>
              <w:rPr>
                <w:rFonts w:ascii="Arial" w:cs="Arial" w:eastAsia="Arial" w:hAnsi="Arial"/>
                <w:sz w:val="18"/>
                <w:szCs w:val="18"/>
                <w:color w:val="auto"/>
              </w:rPr>
              <w:t>Voluntary Adjustments</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5.07.  Adjustments to the Conversion Rate in Connection with a Make-Whole Fundamental Change</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5.08.  Exchange in Lieu of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5.09.  Effect of Common Stock Change Event</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6.</w:t>
            </w:r>
          </w:p>
        </w:tc>
        <w:tc>
          <w:tcPr>
            <w:tcW w:w="10020" w:type="dxa"/>
            <w:vAlign w:val="bottom"/>
            <w:gridSpan w:val="2"/>
          </w:tcPr>
          <w:p>
            <w:pPr>
              <w:ind w:left="160"/>
              <w:spacing w:after="0"/>
              <w:rPr>
                <w:sz w:val="20"/>
                <w:szCs w:val="20"/>
                <w:color w:val="auto"/>
              </w:rPr>
            </w:pPr>
            <w:r>
              <w:rPr>
                <w:rFonts w:ascii="Arial" w:cs="Arial" w:eastAsia="Arial" w:hAnsi="Arial"/>
                <w:sz w:val="18"/>
                <w:szCs w:val="18"/>
                <w:color w:val="auto"/>
              </w:rPr>
              <w:t>Successors</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6.01.  When the Company May Merge, Etc.</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6.02.  Successor Corporation Substituted</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7.</w:t>
            </w:r>
          </w:p>
        </w:tc>
        <w:tc>
          <w:tcPr>
            <w:tcW w:w="10020" w:type="dxa"/>
            <w:vAlign w:val="bottom"/>
            <w:gridSpan w:val="2"/>
          </w:tcPr>
          <w:p>
            <w:pPr>
              <w:ind w:left="160"/>
              <w:spacing w:after="0"/>
              <w:rPr>
                <w:sz w:val="20"/>
                <w:szCs w:val="20"/>
                <w:color w:val="auto"/>
              </w:rPr>
            </w:pPr>
            <w:r>
              <w:rPr>
                <w:rFonts w:ascii="Arial" w:cs="Arial" w:eastAsia="Arial" w:hAnsi="Arial"/>
                <w:sz w:val="18"/>
                <w:szCs w:val="18"/>
                <w:color w:val="auto"/>
              </w:rPr>
              <w:t>Defaults and Remedies</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7.01.  Events of Default</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7.02.</w:t>
            </w:r>
          </w:p>
        </w:tc>
        <w:tc>
          <w:tcPr>
            <w:tcW w:w="948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7.03.  Sole Remedy for a Failure to Report</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7.04.</w:t>
            </w:r>
          </w:p>
        </w:tc>
        <w:tc>
          <w:tcPr>
            <w:tcW w:w="948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7.05.  Waiver of Past Defaults</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7.06.  Control by Majority</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7.07.  Limitation on Suits</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w w:val="94"/>
              </w:rPr>
              <w:t>Section 7.08.  Absolute Right of Holders to Institute Suit for the Enforcement of the Right to Receive Payment and Conversion Consideration</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7.09.  Collection Suit by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7.10.  Trustee May File Proofs of Claim</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7.11.</w:t>
            </w:r>
          </w:p>
        </w:tc>
        <w:tc>
          <w:tcPr>
            <w:tcW w:w="948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7.12.  Undertaking for Costs</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0860" w:type="dxa"/>
            <w:vAlign w:val="bottom"/>
            <w:gridSpan w:val="3"/>
          </w:tcPr>
          <w:p>
            <w:pPr>
              <w:spacing w:after="0"/>
              <w:rPr>
                <w:sz w:val="20"/>
                <w:szCs w:val="20"/>
                <w:color w:val="auto"/>
              </w:rPr>
            </w:pPr>
            <w:r>
              <w:rPr>
                <w:rFonts w:ascii="Arial" w:cs="Arial" w:eastAsia="Arial" w:hAnsi="Arial"/>
                <w:sz w:val="18"/>
                <w:szCs w:val="18"/>
                <w:color w:val="auto"/>
              </w:rPr>
              <w:t>Article 8.   Amendments, Supplements and Waivers</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8.01.  Without the Consent of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8.02.  With the Consent of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8.03.  Notice of Amendments, Supplements and Waivers</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8.04.  Revocation, Effect and Solicitation of Consents; Special Record Dates; Etc.</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8.05.  Notations and Exchanges</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8.06.  Trustee to Execute Supplemental Indentures</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9.</w:t>
            </w:r>
          </w:p>
        </w:tc>
        <w:tc>
          <w:tcPr>
            <w:tcW w:w="10020" w:type="dxa"/>
            <w:vAlign w:val="bottom"/>
            <w:gridSpan w:val="2"/>
          </w:tcPr>
          <w:p>
            <w:pPr>
              <w:ind w:left="160"/>
              <w:spacing w:after="0"/>
              <w:rPr>
                <w:sz w:val="20"/>
                <w:szCs w:val="20"/>
                <w:color w:val="auto"/>
              </w:rPr>
            </w:pPr>
            <w:r>
              <w:rPr>
                <w:rFonts w:ascii="Arial" w:cs="Arial" w:eastAsia="Arial" w:hAnsi="Arial"/>
                <w:sz w:val="18"/>
                <w:szCs w:val="18"/>
                <w:color w:val="auto"/>
              </w:rPr>
              <w:t>Satisfaction and Discharge</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8"/>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9.01.  Termination of Company’s Obligations</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9.02.  Repayment to Company</w:t>
            </w: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380" w:type="dxa"/>
            <w:vAlign w:val="bottom"/>
            <w:gridSpan w:val="2"/>
          </w:tcPr>
          <w:p>
            <w:pPr>
              <w:ind w:left="340"/>
              <w:spacing w:after="0"/>
              <w:rPr>
                <w:sz w:val="20"/>
                <w:szCs w:val="20"/>
                <w:color w:val="auto"/>
              </w:rPr>
            </w:pPr>
            <w:r>
              <w:rPr>
                <w:rFonts w:ascii="Arial" w:cs="Arial" w:eastAsia="Arial" w:hAnsi="Arial"/>
                <w:sz w:val="18"/>
                <w:szCs w:val="18"/>
                <w:color w:val="auto"/>
                <w:w w:val="97"/>
              </w:rPr>
              <w:t>Section 9.03.</w:t>
            </w:r>
          </w:p>
        </w:tc>
        <w:tc>
          <w:tcPr>
            <w:tcW w:w="948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702"/>
        </w:trPr>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Article 10.</w:t>
            </w:r>
          </w:p>
        </w:tc>
        <w:tc>
          <w:tcPr>
            <w:tcW w:w="8300" w:type="dxa"/>
            <w:vAlign w:val="bottom"/>
          </w:tcPr>
          <w:p>
            <w:pPr>
              <w:ind w:left="180"/>
              <w:spacing w:after="0"/>
              <w:rPr>
                <w:sz w:val="20"/>
                <w:szCs w:val="20"/>
                <w:color w:val="auto"/>
              </w:rPr>
            </w:pPr>
            <w:r>
              <w:rPr>
                <w:rFonts w:ascii="Arial" w:cs="Arial" w:eastAsia="Arial" w:hAnsi="Arial"/>
                <w:sz w:val="18"/>
                <w:szCs w:val="18"/>
                <w:color w:val="auto"/>
              </w:rPr>
              <w:t>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8"/>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10.01. Duties of the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10.02. Rights of the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10.03. Individual Rights of the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10.04. Trustee’s Disclaimer</w:t>
            </w:r>
          </w:p>
        </w:tc>
        <w:tc>
          <w:tcPr>
            <w:tcW w:w="2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10.05. Notice of Defaults</w:t>
            </w:r>
          </w:p>
        </w:tc>
        <w:tc>
          <w:tcPr>
            <w:tcW w:w="2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10.06. Compensation and Indemnity</w:t>
            </w:r>
          </w:p>
        </w:tc>
        <w:tc>
          <w:tcPr>
            <w:tcW w:w="2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10.07. Replacement of the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10.08. Successor Trustee by Merger, Etc.</w:t>
            </w:r>
          </w:p>
        </w:tc>
        <w:tc>
          <w:tcPr>
            <w:tcW w:w="2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10.09. Eligibility; Disqualification</w:t>
            </w:r>
          </w:p>
        </w:tc>
        <w:tc>
          <w:tcPr>
            <w:tcW w:w="2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Article 11.</w:t>
            </w:r>
          </w:p>
        </w:tc>
        <w:tc>
          <w:tcPr>
            <w:tcW w:w="830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2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8"/>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11.01. 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11.02. Delivery of Officer’s Certificate and Opinion of Counsel as to Conditions Precedent</w:t>
            </w:r>
          </w:p>
        </w:tc>
        <w:tc>
          <w:tcPr>
            <w:tcW w:w="2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11.03. Statements Required in Officer’s Certificate and Opinion of Counsel</w:t>
            </w:r>
          </w:p>
        </w:tc>
        <w:tc>
          <w:tcPr>
            <w:tcW w:w="2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11.04. Rules by the Trustee, the Registrar and the Paying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11.05. No Personal Liability of Directors, Officers, Employees and Stockholders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11.06. Governing Law; Waiver of Jury Trial</w:t>
            </w:r>
          </w:p>
        </w:tc>
        <w:tc>
          <w:tcPr>
            <w:tcW w:w="2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11.07. Submission to Jurisdiction</w:t>
            </w:r>
          </w:p>
        </w:tc>
        <w:tc>
          <w:tcPr>
            <w:tcW w:w="2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11.08. No Adverse Interpretation of Other Agreements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11.09. Successors</w:t>
            </w:r>
          </w:p>
        </w:tc>
        <w:tc>
          <w:tcPr>
            <w:tcW w:w="2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11.10. Force Majeure</w:t>
            </w:r>
          </w:p>
        </w:tc>
        <w:tc>
          <w:tcPr>
            <w:tcW w:w="2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11.11. U.S.A. PATRIOT Act</w:t>
            </w:r>
          </w:p>
        </w:tc>
        <w:tc>
          <w:tcPr>
            <w:tcW w:w="2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11.12. Calculations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11.13. Severability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11.14. 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11.15. Table of Contents, Headings, Etc.</w:t>
            </w: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11.16. Withholding Taxes</w:t>
            </w: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11.17. Foreign Account Tax Compliance Act (FATCA)</w:t>
            </w:r>
          </w:p>
        </w:tc>
        <w:tc>
          <w:tcPr>
            <w:tcW w:w="20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200" w:type="dxa"/>
            <w:vAlign w:val="bottom"/>
            <w:gridSpan w:val="3"/>
          </w:tcPr>
          <w:p>
            <w:pPr>
              <w:ind w:left="340"/>
              <w:spacing w:after="0"/>
              <w:rPr>
                <w:sz w:val="20"/>
                <w:szCs w:val="20"/>
                <w:color w:val="auto"/>
              </w:rPr>
            </w:pPr>
            <w:r>
              <w:rPr>
                <w:rFonts w:ascii="Arial" w:cs="Arial" w:eastAsia="Arial" w:hAnsi="Arial"/>
                <w:sz w:val="18"/>
                <w:szCs w:val="18"/>
                <w:color w:val="auto"/>
              </w:rPr>
              <w:t>Section 11.18. Electronic Execution of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3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6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36"/>
        </w:trPr>
        <w:tc>
          <w:tcPr>
            <w:tcW w:w="9200" w:type="dxa"/>
            <w:vAlign w:val="bottom"/>
            <w:gridSpan w:val="3"/>
          </w:tcPr>
          <w:p>
            <w:pPr>
              <w:spacing w:after="0"/>
              <w:rPr>
                <w:sz w:val="20"/>
                <w:szCs w:val="20"/>
                <w:color w:val="auto"/>
              </w:rPr>
            </w:pPr>
            <w:r>
              <w:rPr>
                <w:rFonts w:ascii="Arial" w:cs="Arial" w:eastAsia="Arial" w:hAnsi="Arial"/>
                <w:sz w:val="18"/>
                <w:szCs w:val="18"/>
                <w:color w:val="auto"/>
              </w:rPr>
              <w:t>Exhibit A: Form of Note</w:t>
            </w:r>
          </w:p>
        </w:tc>
        <w:tc>
          <w:tcPr>
            <w:tcW w:w="20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200" w:type="dxa"/>
            <w:vAlign w:val="bottom"/>
            <w:gridSpan w:val="3"/>
          </w:tcPr>
          <w:p>
            <w:pPr>
              <w:spacing w:after="0"/>
              <w:rPr>
                <w:sz w:val="20"/>
                <w:szCs w:val="20"/>
                <w:color w:val="auto"/>
              </w:rPr>
            </w:pPr>
            <w:r>
              <w:rPr>
                <w:rFonts w:ascii="Arial" w:cs="Arial" w:eastAsia="Arial" w:hAnsi="Arial"/>
                <w:sz w:val="18"/>
                <w:szCs w:val="18"/>
                <w:color w:val="auto"/>
              </w:rPr>
              <w:t>Exhibit B-1: Form of Restricted Note Legend</w:t>
            </w:r>
          </w:p>
        </w:tc>
        <w:tc>
          <w:tcPr>
            <w:tcW w:w="2040" w:type="dxa"/>
            <w:vAlign w:val="bottom"/>
          </w:tcPr>
          <w:p>
            <w:pPr>
              <w:jc w:val="right"/>
              <w:spacing w:after="0"/>
              <w:rPr>
                <w:sz w:val="20"/>
                <w:szCs w:val="20"/>
                <w:color w:val="auto"/>
              </w:rPr>
            </w:pPr>
            <w:r>
              <w:rPr>
                <w:rFonts w:ascii="Arial" w:cs="Arial" w:eastAsia="Arial" w:hAnsi="Arial"/>
                <w:sz w:val="18"/>
                <w:szCs w:val="18"/>
                <w:color w:val="auto"/>
              </w:rPr>
              <w:t>B1-1</w:t>
            </w:r>
          </w:p>
        </w:tc>
      </w:tr>
      <w:tr>
        <w:trPr>
          <w:trHeight w:val="216"/>
        </w:trPr>
        <w:tc>
          <w:tcPr>
            <w:tcW w:w="9200" w:type="dxa"/>
            <w:vAlign w:val="bottom"/>
            <w:gridSpan w:val="3"/>
          </w:tcPr>
          <w:p>
            <w:pPr>
              <w:spacing w:after="0"/>
              <w:rPr>
                <w:sz w:val="20"/>
                <w:szCs w:val="20"/>
                <w:color w:val="auto"/>
              </w:rPr>
            </w:pPr>
            <w:r>
              <w:rPr>
                <w:rFonts w:ascii="Arial" w:cs="Arial" w:eastAsia="Arial" w:hAnsi="Arial"/>
                <w:sz w:val="18"/>
                <w:szCs w:val="18"/>
                <w:color w:val="auto"/>
              </w:rPr>
              <w:t>Exhibit B-2: Form of Global Note Legend</w:t>
            </w:r>
          </w:p>
        </w:tc>
        <w:tc>
          <w:tcPr>
            <w:tcW w:w="2040" w:type="dxa"/>
            <w:vAlign w:val="bottom"/>
          </w:tcPr>
          <w:p>
            <w:pPr>
              <w:jc w:val="right"/>
              <w:spacing w:after="0"/>
              <w:rPr>
                <w:sz w:val="20"/>
                <w:szCs w:val="20"/>
                <w:color w:val="auto"/>
              </w:rPr>
            </w:pPr>
            <w:r>
              <w:rPr>
                <w:rFonts w:ascii="Arial" w:cs="Arial" w:eastAsia="Arial" w:hAnsi="Arial"/>
                <w:sz w:val="18"/>
                <w:szCs w:val="18"/>
                <w:color w:val="auto"/>
              </w:rPr>
              <w:t>B2-1</w:t>
            </w:r>
          </w:p>
        </w:tc>
      </w:tr>
      <w:tr>
        <w:trPr>
          <w:trHeight w:val="230"/>
        </w:trPr>
        <w:tc>
          <w:tcPr>
            <w:tcW w:w="9200" w:type="dxa"/>
            <w:vAlign w:val="bottom"/>
            <w:gridSpan w:val="3"/>
          </w:tcPr>
          <w:p>
            <w:pPr>
              <w:spacing w:after="0"/>
              <w:rPr>
                <w:sz w:val="20"/>
                <w:szCs w:val="20"/>
                <w:color w:val="auto"/>
              </w:rPr>
            </w:pPr>
            <w:r>
              <w:rPr>
                <w:rFonts w:ascii="Arial" w:cs="Arial" w:eastAsia="Arial" w:hAnsi="Arial"/>
                <w:sz w:val="18"/>
                <w:szCs w:val="18"/>
                <w:color w:val="auto"/>
              </w:rPr>
              <w:t>Exhibit B-3: Form of Non-Affiliate Legend</w:t>
            </w:r>
          </w:p>
        </w:tc>
        <w:tc>
          <w:tcPr>
            <w:tcW w:w="2040" w:type="dxa"/>
            <w:vAlign w:val="bottom"/>
          </w:tcPr>
          <w:p>
            <w:pPr>
              <w:jc w:val="right"/>
              <w:spacing w:after="0"/>
              <w:rPr>
                <w:sz w:val="20"/>
                <w:szCs w:val="20"/>
                <w:color w:val="auto"/>
              </w:rPr>
            </w:pPr>
            <w:r>
              <w:rPr>
                <w:rFonts w:ascii="Arial" w:cs="Arial" w:eastAsia="Arial" w:hAnsi="Arial"/>
                <w:sz w:val="18"/>
                <w:szCs w:val="18"/>
                <w:color w:val="auto"/>
              </w:rPr>
              <w:t>B3-1</w:t>
            </w:r>
          </w:p>
        </w:tc>
      </w:tr>
      <w:tr>
        <w:trPr>
          <w:trHeight w:val="675"/>
        </w:trPr>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9" w:name="page10"/>
    <w:bookmarkEnd w:id="9"/>
    <w:p>
      <w:pPr>
        <w:jc w:val="both"/>
        <w:ind w:right="20" w:firstLine="648"/>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June 18, 2021, between Cracker Barrel Old Country Store, Inc., a Tennessee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party to this Indenture (as defined below) agrees as follows for the benefit of the other party and for the equal and ratable benefit of the Holders (as defined below) of the Notes (as defined below).</w:t>
      </w:r>
    </w:p>
    <w:p>
      <w:pPr>
        <w:spacing w:after="0" w:line="166"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Article 1.</w:t>
        <w:tab/>
        <w:t>DEFINITIONS; RULES OF CONSTRUCTION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1.01.</w:t>
        <w:tab/>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144 as in effect on the Issue Date.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Denomination</w:t>
      </w:r>
      <w:r>
        <w:rPr>
          <w:rFonts w:ascii="Arial" w:cs="Arial" w:eastAsia="Arial" w:hAnsi="Arial"/>
          <w:sz w:val="18"/>
          <w:szCs w:val="18"/>
          <w:color w:val="auto"/>
        </w:rPr>
        <w:t>” means, with respect to a Note, a principal amount thereof equal to $1,000 or any integral multiple of $1,000 in excess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xml:space="preserve">” means the Person who is required to obtain bids for the Trading Price in accordance with </w:t>
      </w:r>
      <w:r>
        <w:rPr>
          <w:rFonts w:ascii="Arial" w:cs="Arial" w:eastAsia="Arial" w:hAnsi="Arial"/>
          <w:sz w:val="18"/>
          <w:szCs w:val="18"/>
          <w:b w:val="1"/>
          <w:bCs w:val="1"/>
          <w:color w:val="auto"/>
        </w:rPr>
        <w:t>Section 5.01(C)(i)(2)</w:t>
      </w:r>
      <w:r>
        <w:rPr>
          <w:rFonts w:ascii="Arial" w:cs="Arial" w:eastAsia="Arial" w:hAnsi="Arial"/>
          <w:sz w:val="18"/>
          <w:szCs w:val="18"/>
          <w:color w:val="auto"/>
        </w:rPr>
        <w:t xml:space="preserve"> and the definition of “Trading Price.” The initial Bid Solicitation Agent on the Issue Date will be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appoint any other Person (including itself or any of its Subsidiaries) to be the Bid Solicitation Agent at any time after the Issue Date without prior notice to the Holders.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on behalf of such board.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any day on which the Federal Reserve Bank of New York is authorized or required by law, regulation or executive order to close or be closed.</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the common stock, $0.01 par value per share, of the Company, subject to </w:t>
      </w:r>
      <w:r>
        <w:rPr>
          <w:rFonts w:ascii="Arial" w:cs="Arial" w:eastAsia="Arial" w:hAnsi="Arial"/>
          <w:sz w:val="18"/>
          <w:szCs w:val="18"/>
          <w:b w:val="1"/>
          <w:b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the Person named as such in the first paragraph of this Indenture and, subject to </w:t>
      </w:r>
      <w:r>
        <w:rPr>
          <w:rFonts w:ascii="Arial" w:cs="Arial" w:eastAsia="Arial" w:hAnsi="Arial"/>
          <w:sz w:val="18"/>
          <w:szCs w:val="18"/>
          <w:b w:val="1"/>
          <w:bCs w:val="1"/>
          <w:color w:val="auto"/>
        </w:rPr>
        <w:t>Article 6</w:t>
      </w:r>
      <w:r>
        <w:rPr>
          <w:rFonts w:ascii="Arial" w:cs="Arial" w:eastAsia="Arial" w:hAnsi="Arial"/>
          <w:sz w:val="18"/>
          <w:szCs w:val="18"/>
          <w:color w:val="auto"/>
        </w:rPr>
        <w:t>, its successors and assigns.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request or order signed on behalf of the Company by one (1) of its Officers and delivered to the Trustee.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means, with respect to a Note, the first Business Day on which the requirements set forth in </w:t>
      </w:r>
      <w:r>
        <w:rPr>
          <w:rFonts w:ascii="Arial" w:cs="Arial" w:eastAsia="Arial" w:hAnsi="Arial"/>
          <w:sz w:val="18"/>
          <w:szCs w:val="18"/>
          <w:b w:val="1"/>
          <w:bCs w:val="1"/>
          <w:color w:val="auto"/>
        </w:rPr>
        <w:t>Section 5.02(A)</w:t>
      </w:r>
      <w:r>
        <w:rPr>
          <w:rFonts w:ascii="Arial" w:cs="Arial" w:eastAsia="Arial" w:hAnsi="Arial"/>
          <w:sz w:val="18"/>
          <w:szCs w:val="18"/>
          <w:color w:val="auto"/>
        </w:rPr>
        <w:t xml:space="preserve"> to convert such Note are satisfied.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time, an amount equal to (A) one thousand dollars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Conversion Rate in effect at such time.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xml:space="preserve">” initially means 5.3153 shares of Common Stock per $1,000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Conversion Rate is subject to adjustment pursuant to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w:t>
      </w:r>
      <w:r>
        <w:rPr>
          <w:rFonts w:ascii="Arial" w:cs="Arial" w:eastAsia="Arial" w:hAnsi="Arial"/>
          <w:sz w:val="18"/>
          <w:szCs w:val="18"/>
          <w:color w:val="auto"/>
        </w:rPr>
        <w:t>” means any share of Common Stock issued or issuable upon conversion of any Note.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Cash Amount</w:t>
      </w:r>
      <w:r>
        <w:rPr>
          <w:rFonts w:ascii="Arial" w:cs="Arial" w:eastAsia="Arial" w:hAnsi="Arial"/>
          <w:sz w:val="18"/>
          <w:szCs w:val="18"/>
          <w:color w:val="auto"/>
        </w:rPr>
        <w:t>” means, with respect to any VWAP Trading Day, the lesser of (A) the applicable Daily Maximum Cash Amount; and (B) the Daily Conversion Value for such VWAP Trading Day.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with respect to any VWAP Trading Day, one-twenty-fifth (1/25th) of the product of (A) the Conversion Rate on such VWAP Trading Day; and (B) the Daily VWAP per share of Common Stock on such VWAP Trading Day.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Maximum Cash Amount</w:t>
      </w:r>
      <w:r>
        <w:rPr>
          <w:rFonts w:ascii="Arial" w:cs="Arial" w:eastAsia="Arial" w:hAnsi="Arial"/>
          <w:sz w:val="18"/>
          <w:szCs w:val="18"/>
          <w:color w:val="auto"/>
        </w:rPr>
        <w:t>” means, with respect to the conversion of any Note, the quotient obtained by dividing (A) the Specified Dollar Amount applicable to such conversion by (B) twenty-five (25).</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Share Amount</w:t>
      </w:r>
      <w:r>
        <w:rPr>
          <w:rFonts w:ascii="Arial" w:cs="Arial" w:eastAsia="Arial" w:hAnsi="Arial"/>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any VWAP Trading Day, the per share volume-weighted average price of the Common Stock as displayed under the heading “Bloomberg VWAP” on Bloomberg page “CBRL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include any of the Initial Purchasers). The Daily VWAP will be determined without regard to after-hours trading or any other trading outside of the regular trading session.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De-Legending Deadline Date</w:t>
      </w:r>
      <w:r>
        <w:rPr>
          <w:rFonts w:ascii="Arial" w:cs="Arial" w:eastAsia="Arial" w:hAnsi="Arial"/>
          <w:sz w:val="18"/>
          <w:szCs w:val="18"/>
          <w:color w:val="auto"/>
        </w:rPr>
        <w:t xml:space="preserve">” means, with respect to any Note, the fifteenth (15th) day after the Free Trade Date of such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fifteenth (15th) day is after a Regular Record Date and on or before the next Interest Payment Date, then the De-Legending Deadline</w:t>
      </w:r>
      <w:r>
        <w:rPr>
          <w:rFonts w:ascii="Arial" w:cs="Arial" w:eastAsia="Arial" w:hAnsi="Arial"/>
          <w:sz w:val="18"/>
          <w:szCs w:val="18"/>
          <w:i w:val="1"/>
          <w:iCs w:val="1"/>
          <w:color w:val="auto"/>
        </w:rPr>
        <w:t xml:space="preserve"> </w:t>
      </w:r>
      <w:r>
        <w:rPr>
          <w:rFonts w:ascii="Arial" w:cs="Arial" w:eastAsia="Arial" w:hAnsi="Arial"/>
          <w:sz w:val="18"/>
          <w:szCs w:val="18"/>
          <w:color w:val="auto"/>
        </w:rPr>
        <w:t>Date for such Note will instead be the Business Day immediately after such Interest Payment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passage of time or both, would be) an Event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Settlement Method</w:t>
      </w:r>
      <w:r>
        <w:rPr>
          <w:rFonts w:ascii="Arial" w:cs="Arial" w:eastAsia="Arial" w:hAnsi="Arial"/>
          <w:sz w:val="18"/>
          <w:szCs w:val="18"/>
          <w:color w:val="auto"/>
        </w:rPr>
        <w:t xml:space="preserve">” means Combination Settlement with a Specified Dollar Amount of $1,000 per $1,000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may, from time to time, change the Default Settlement Method by sending notice of the new Default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to the Holders, the Trustee and the Conversion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Participant</w:t>
      </w:r>
      <w:r>
        <w:rPr>
          <w:rFonts w:ascii="Arial" w:cs="Arial" w:eastAsia="Arial" w:hAnsi="Arial"/>
          <w:sz w:val="18"/>
          <w:szCs w:val="18"/>
          <w:color w:val="auto"/>
        </w:rPr>
        <w:t>” means any member of, or participant in,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Procedures</w:t>
      </w:r>
      <w:r>
        <w:rPr>
          <w:rFonts w:ascii="Arial" w:cs="Arial" w:eastAsia="Arial" w:hAnsi="Arial"/>
          <w:sz w:val="18"/>
          <w:szCs w:val="18"/>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Exempted Fundamental Change</w:t>
      </w:r>
      <w:r>
        <w:rPr>
          <w:rFonts w:ascii="Arial" w:cs="Arial" w:eastAsia="Arial" w:hAnsi="Arial"/>
          <w:sz w:val="18"/>
          <w:szCs w:val="18"/>
          <w:color w:val="auto"/>
        </w:rPr>
        <w:t xml:space="preserve">” means any Fundamental Change with respect to which, in accordance with </w:t>
      </w:r>
      <w:r>
        <w:rPr>
          <w:rFonts w:ascii="Arial" w:cs="Arial" w:eastAsia="Arial" w:hAnsi="Arial"/>
          <w:sz w:val="18"/>
          <w:szCs w:val="18"/>
          <w:b w:val="1"/>
          <w:bCs w:val="1"/>
          <w:color w:val="auto"/>
        </w:rPr>
        <w:t>Section 4.02(I)</w:t>
      </w:r>
      <w:r>
        <w:rPr>
          <w:rFonts w:ascii="Arial" w:cs="Arial" w:eastAsia="Arial" w:hAnsi="Arial"/>
          <w:sz w:val="18"/>
          <w:szCs w:val="18"/>
          <w:color w:val="auto"/>
        </w:rPr>
        <w:t>, the Company does not offer to repurchase any Notes.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Trade Date</w:t>
      </w:r>
      <w:r>
        <w:rPr>
          <w:rFonts w:ascii="Arial" w:cs="Arial" w:eastAsia="Arial" w:hAnsi="Arial"/>
          <w:sz w:val="18"/>
          <w:szCs w:val="18"/>
          <w:color w:val="auto"/>
        </w:rPr>
        <w:t>” means, with respect to any Note, the date that is one (1) year after the Last Original Issue Date of such Note.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Freely Tradable</w:t>
      </w:r>
      <w:r>
        <w:rPr>
          <w:rFonts w:ascii="Arial" w:cs="Arial" w:eastAsia="Arial" w:hAnsi="Arial"/>
          <w:sz w:val="16"/>
          <w:szCs w:val="16"/>
          <w:color w:val="auto"/>
        </w:rPr>
        <w:t>” means, with respect to any Note, that such Note would be eligible to be offered, sold or otherwise transferred pursuant to Rule 144 if held by a Person that is not an Affiliate of the Company, and that has not been an Affiliate of the Company during the immediately preceding three</w:t>
      </w:r>
    </w:p>
    <w:p>
      <w:pPr>
        <w:spacing w:after="0" w:line="1" w:lineRule="exact"/>
        <w:rPr>
          <w:sz w:val="20"/>
          <w:szCs w:val="20"/>
          <w:color w:val="auto"/>
        </w:rPr>
      </w:pPr>
    </w:p>
    <w:p>
      <w:pPr>
        <w:jc w:val="both"/>
        <w:ind w:firstLine="8"/>
        <w:spacing w:after="0" w:line="252"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from and after the Free Trade Date of such Note, such Note will not be “freely tradable” unless such Note (x) is not identified by a “restricted” CUSIP or ISIN number at any time; and (y) is not represented by any certificate that bears a Restricted Note Legend or any similar restrictive note legend described in </w:t>
      </w:r>
      <w:r>
        <w:rPr>
          <w:rFonts w:ascii="Arial" w:cs="Arial" w:eastAsia="Arial" w:hAnsi="Arial"/>
          <w:sz w:val="18"/>
          <w:szCs w:val="18"/>
          <w:b w:val="1"/>
          <w:bCs w:val="1"/>
          <w:color w:val="auto"/>
        </w:rPr>
        <w:t>Section 2.09</w:t>
      </w:r>
      <w:r>
        <w:rPr>
          <w:rFonts w:ascii="Arial" w:cs="Arial" w:eastAsia="Arial" w:hAnsi="Arial"/>
          <w:sz w:val="18"/>
          <w:szCs w:val="18"/>
          <w:color w:val="auto"/>
        </w:rPr>
        <w:t>. For the avoidance of doubt, whether a Note is deemed to be identified by a “restricted” CUSIP or ISIN number or to bear the Restricted Note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Legend is subject to </w:t>
      </w:r>
      <w:r>
        <w:rPr>
          <w:rFonts w:ascii="Arial" w:cs="Arial" w:eastAsia="Arial" w:hAnsi="Arial"/>
          <w:sz w:val="18"/>
          <w:szCs w:val="18"/>
          <w:b w:val="1"/>
          <w:bCs w:val="1"/>
          <w:color w:val="auto"/>
        </w:rPr>
        <w:t>Section 2.12</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80" w:hanging="106"/>
        <w:spacing w:after="0"/>
        <w:tabs>
          <w:tab w:leader="none" w:pos="5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any of the following events:</w:t>
      </w:r>
    </w:p>
    <w:p>
      <w:pPr>
        <w:spacing w:after="0" w:line="229" w:lineRule="exact"/>
        <w:rPr>
          <w:sz w:val="20"/>
          <w:szCs w:val="20"/>
          <w:color w:val="auto"/>
        </w:rPr>
      </w:pPr>
    </w:p>
    <w:p>
      <w:pPr>
        <w:jc w:val="both"/>
        <w:ind w:firstLine="656"/>
        <w:spacing w:after="0" w:line="259" w:lineRule="auto"/>
        <w:tabs>
          <w:tab w:leader="none" w:pos="134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Company’s common equity representing more than fifty percent (50%) of the voting power of all of the Company’s then-outstanding Common Stock;</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20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consummation of (i) any sale, lease or other transfer, in one transaction or a series of transactions, of all or substantially all of the assets of the Company and its Subsidiaries, taken as a whole, to any Person, other than solely to the Company or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Arial" w:cs="Arial" w:eastAsia="Arial" w:hAnsi="Arial"/>
          <w:sz w:val="17"/>
          <w:szCs w:val="17"/>
          <w:b w:val="1"/>
          <w:bCs w:val="1"/>
          <w:color w:val="auto"/>
        </w:rPr>
        <w:t>clause (B)</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220" w:hanging="56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approve any plan or proposal for the liquidation or dissolution of the Company; or</w:t>
      </w:r>
    </w:p>
    <w:p>
      <w:pPr>
        <w:spacing w:after="0" w:line="225" w:lineRule="exact"/>
        <w:rPr>
          <w:rFonts w:ascii="Arial" w:cs="Arial" w:eastAsia="Arial" w:hAnsi="Arial"/>
          <w:sz w:val="18"/>
          <w:szCs w:val="18"/>
          <w:color w:val="auto"/>
        </w:rPr>
      </w:pPr>
    </w:p>
    <w:p>
      <w:pPr>
        <w:ind w:firstLine="656"/>
        <w:spacing w:after="0" w:line="277" w:lineRule="auto"/>
        <w:tabs>
          <w:tab w:leader="none" w:pos="139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Common Stock ceases to be listed or traded on any of The New York Stock Exchange, The NASDAQ Global Market or The NASDAQ Global Select Market (or any of their respective successors);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transaction or event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above will not constitute a Fundamental Change if at least ninety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listed or traded (or American depositary receipts representing shares of common stock, which depositary receipts are listed or traded) on any of The New York Stock Exchange, The NASDAQ Global Market or The NASDAQ Global Select Market (or any of their respective successors), or that will be so listed or traded when issued or exchanged in connection with such transaction or event, and such transaction or event constitutes a Common Stock Change Event whose Reference Property consists of such consideration.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61" w:lineRule="auto"/>
        <w:rPr>
          <w:sz w:val="20"/>
          <w:szCs w:val="20"/>
          <w:color w:val="auto"/>
        </w:rPr>
      </w:pPr>
      <w:r>
        <w:rPr>
          <w:rFonts w:ascii="Arial" w:cs="Arial" w:eastAsia="Arial" w:hAnsi="Arial"/>
          <w:sz w:val="18"/>
          <w:szCs w:val="18"/>
          <w:color w:val="auto"/>
        </w:rPr>
        <w:t xml:space="preserve">For the purposes of this definition, (x) any transaction or event described in both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and in </w:t>
      </w:r>
      <w:r>
        <w:rPr>
          <w:rFonts w:ascii="Arial" w:cs="Arial" w:eastAsia="Arial" w:hAnsi="Arial"/>
          <w:sz w:val="18"/>
          <w:szCs w:val="18"/>
          <w:b w:val="1"/>
          <w:bCs w:val="1"/>
          <w:color w:val="auto"/>
        </w:rPr>
        <w:t>clause (B)(ii)</w:t>
      </w:r>
      <w:r>
        <w:rPr>
          <w:rFonts w:ascii="Arial" w:cs="Arial" w:eastAsia="Arial" w:hAnsi="Arial"/>
          <w:sz w:val="18"/>
          <w:szCs w:val="18"/>
          <w:color w:val="auto"/>
        </w:rPr>
        <w:t xml:space="preserve"> above (without regard to the proviso in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will be deemed to occur solely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above (subject to such proviso); and (y) whether a Person is a “</w:t>
      </w:r>
      <w:r>
        <w:rPr>
          <w:rFonts w:ascii="Arial" w:cs="Arial" w:eastAsia="Arial" w:hAnsi="Arial"/>
          <w:sz w:val="18"/>
          <w:szCs w:val="18"/>
          <w:b w:val="1"/>
          <w:bCs w:val="1"/>
          <w:color w:val="auto"/>
        </w:rPr>
        <w:t>beneficial</w:t>
      </w:r>
      <w:r>
        <w:rPr>
          <w:rFonts w:ascii="Arial" w:cs="Arial" w:eastAsia="Arial" w:hAnsi="Arial"/>
          <w:sz w:val="18"/>
          <w:szCs w:val="18"/>
          <w:color w:val="auto"/>
        </w:rPr>
        <w:t xml:space="preserve"> </w:t>
      </w:r>
      <w:r>
        <w:rPr>
          <w:rFonts w:ascii="Arial" w:cs="Arial" w:eastAsia="Arial" w:hAnsi="Arial"/>
          <w:sz w:val="18"/>
          <w:szCs w:val="18"/>
          <w:b w:val="1"/>
          <w:bCs w:val="1"/>
          <w:color w:val="auto"/>
        </w:rPr>
        <w:t>owner</w:t>
      </w:r>
      <w:r>
        <w:rPr>
          <w:rFonts w:ascii="Arial" w:cs="Arial" w:eastAsia="Arial" w:hAnsi="Arial"/>
          <w:sz w:val="18"/>
          <w:szCs w:val="18"/>
          <w:color w:val="auto"/>
        </w:rPr>
        <w:t>,” whether shares are “</w:t>
      </w:r>
      <w:r>
        <w:rPr>
          <w:rFonts w:ascii="Arial" w:cs="Arial" w:eastAsia="Arial" w:hAnsi="Arial"/>
          <w:sz w:val="18"/>
          <w:szCs w:val="18"/>
          <w:b w:val="1"/>
          <w:bCs w:val="1"/>
          <w:color w:val="auto"/>
        </w:rPr>
        <w:t>beneficially owned</w:t>
      </w:r>
      <w:r>
        <w:rPr>
          <w:rFonts w:ascii="Arial" w:cs="Arial" w:eastAsia="Arial" w:hAnsi="Arial"/>
          <w:sz w:val="18"/>
          <w:szCs w:val="18"/>
          <w:color w:val="auto"/>
        </w:rPr>
        <w:t>,” and percentage beneficial ownership, will be determined in accordance with Rule 13d-3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means the date fixed for the repurchase of any Notes by the Company pursuant to a Repurchase Upon Fundamental Change.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xml:space="preserve">” means a notice (including a notice substantially in the form of the “Fundamental Change Repurchase Notice”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containing the information, or otherwise complying with the requirements, set forth in </w:t>
      </w:r>
      <w:r>
        <w:rPr>
          <w:rFonts w:ascii="Arial" w:cs="Arial" w:eastAsia="Arial" w:hAnsi="Arial"/>
          <w:sz w:val="18"/>
          <w:szCs w:val="18"/>
          <w:b w:val="1"/>
          <w:bCs w:val="1"/>
          <w:color w:val="auto"/>
        </w:rPr>
        <w:t>Section 4.02(F)(i)</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4.02(F)(ii)</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means the cash price payable by the Company to repurchase any Note upon its Repurchase Upon Fundamental Change, calculated pursuant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w:t>
      </w:r>
      <w:r>
        <w:rPr>
          <w:rFonts w:ascii="Arial" w:cs="Arial" w:eastAsia="Arial" w:hAnsi="Arial"/>
          <w:sz w:val="16"/>
          <w:szCs w:val="16"/>
          <w:color w:val="auto"/>
        </w:rPr>
        <w:t xml:space="preserve">” means a Note that is represented by a certificate substantially in the 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registered in the name of the Depositary or its nominee, duly executed by the Company and authenticated by the Trustee, and deposited with the Trustee, as custodian for the Depositary.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BofA Securities, Inc., Wells Fargo Securities, LLC, Goldman Sachs &amp; Co. LLC and Truist Securities, Inc.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means, with respect to a Note, each June 15 and December 15 of each year, commencing on December 15, 2021 (or such other date specified in the certificate representing such Note). For the avoidance of doubt the Maturity Date is an Interest Payment Date.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June 18, 2021.</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Original Issue Date</w:t>
      </w:r>
      <w:r>
        <w:rPr>
          <w:rFonts w:ascii="Arial" w:cs="Arial" w:eastAsia="Arial" w:hAnsi="Arial"/>
          <w:sz w:val="16"/>
          <w:szCs w:val="16"/>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Arial" w:cs="Arial" w:eastAsia="Arial" w:hAnsi="Arial"/>
          <w:sz w:val="16"/>
          <w:szCs w:val="16"/>
          <w:b w:val="1"/>
          <w:bCs w:val="1"/>
          <w:color w:val="auto"/>
        </w:rPr>
        <w:t>Section 2.03(B)</w:t>
      </w:r>
      <w:r>
        <w:rPr>
          <w:rFonts w:ascii="Arial" w:cs="Arial" w:eastAsia="Arial" w:hAnsi="Arial"/>
          <w:sz w:val="16"/>
          <w:szCs w:val="16"/>
          <w:color w:val="auto"/>
        </w:rPr>
        <w:t>, and any Notes issued in exchange therefor or in substitution thereof, either (i) the later of (x) the date such Notes are originally issued and</w:t>
      </w:r>
    </w:p>
    <w:p>
      <w:pPr>
        <w:spacing w:after="0" w:line="2" w:lineRule="exact"/>
        <w:rPr>
          <w:sz w:val="20"/>
          <w:szCs w:val="20"/>
          <w:color w:val="auto"/>
        </w:rPr>
      </w:pPr>
    </w:p>
    <w:p>
      <w:pPr>
        <w:jc w:val="both"/>
        <w:ind w:firstLine="8"/>
        <w:spacing w:after="0" w:line="255" w:lineRule="auto"/>
        <w:tabs>
          <w:tab w:leader="none" w:pos="2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hanging="106"/>
        <w:spacing w:after="0"/>
        <w:tabs>
          <w:tab w:leader="none" w:pos="5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include any of the Initial Purchasers. Neither the Trustee nor the Conversion Agent will have any duty to determine the Last Reported Sale Price.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 a Fundamental Change (determined after giving effect to the proviso immediately after </w:t>
      </w:r>
      <w:r>
        <w:rPr>
          <w:rFonts w:ascii="Arial" w:cs="Arial" w:eastAsia="Arial" w:hAnsi="Arial"/>
          <w:sz w:val="16"/>
          <w:szCs w:val="16"/>
          <w:b w:val="1"/>
          <w:bCs w:val="1"/>
          <w:color w:val="auto"/>
        </w:rPr>
        <w:t>clause</w:t>
      </w:r>
    </w:p>
    <w:p>
      <w:pPr>
        <w:spacing w:after="0" w:line="50" w:lineRule="exact"/>
        <w:rPr>
          <w:sz w:val="20"/>
          <w:szCs w:val="20"/>
          <w:color w:val="auto"/>
        </w:rPr>
      </w:pPr>
    </w:p>
    <w:p>
      <w:pPr>
        <w:jc w:val="both"/>
        <w:ind w:firstLine="8"/>
        <w:spacing w:after="0" w:line="302" w:lineRule="auto"/>
        <w:tabs>
          <w:tab w:leader="none" w:pos="317"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 xml:space="preserve">of the definition thereof, but without regard to the proviso to </w:t>
      </w:r>
      <w:r>
        <w:rPr>
          <w:rFonts w:ascii="Arial" w:cs="Arial" w:eastAsia="Arial" w:hAnsi="Arial"/>
          <w:sz w:val="16"/>
          <w:szCs w:val="16"/>
          <w:b w:val="1"/>
          <w:bCs w:val="1"/>
          <w:color w:val="auto"/>
        </w:rPr>
        <w:t>clause (B)(ii)</w:t>
      </w:r>
      <w:r>
        <w:rPr>
          <w:rFonts w:ascii="Arial" w:cs="Arial" w:eastAsia="Arial" w:hAnsi="Arial"/>
          <w:sz w:val="16"/>
          <w:szCs w:val="16"/>
          <w:color w:val="auto"/>
        </w:rPr>
        <w:t xml:space="preserve"> of the definition thereof); or (B) the sending of a Redemption Notice pursuant to </w:t>
      </w:r>
      <w:r>
        <w:rPr>
          <w:rFonts w:ascii="Arial" w:cs="Arial" w:eastAsia="Arial" w:hAnsi="Arial"/>
          <w:sz w:val="16"/>
          <w:szCs w:val="16"/>
          <w:b w:val="1"/>
          <w:bCs w:val="1"/>
          <w:color w:val="auto"/>
        </w:rPr>
        <w:t>Section 4.03(F)</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subject to </w:t>
      </w:r>
      <w:r>
        <w:rPr>
          <w:rFonts w:ascii="Arial" w:cs="Arial" w:eastAsia="Arial" w:hAnsi="Arial"/>
          <w:sz w:val="16"/>
          <w:szCs w:val="16"/>
          <w:b w:val="1"/>
          <w:bCs w:val="1"/>
          <w:color w:val="auto"/>
        </w:rPr>
        <w:t>Section 4.03(I)</w:t>
      </w:r>
      <w:r>
        <w:rPr>
          <w:rFonts w:ascii="Arial" w:cs="Arial" w:eastAsia="Arial" w:hAnsi="Arial"/>
          <w:sz w:val="16"/>
          <w:szCs w:val="16"/>
          <w:color w:val="auto"/>
        </w:rPr>
        <w:t>, the sending of a Redemption Notice will constitute a Make-Whole Fundamental Change only with respect to the Notes called for Redemption pursuant to such Redemption Notice and not with respect to any other Notes.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Conversion Period</w:t>
      </w:r>
      <w:r>
        <w:rPr>
          <w:rFonts w:ascii="Arial" w:cs="Arial" w:eastAsia="Arial" w:hAnsi="Arial"/>
          <w:sz w:val="18"/>
          <w:szCs w:val="18"/>
          <w:color w:val="auto"/>
        </w:rPr>
        <w:t>” has the following meaning:</w:t>
      </w:r>
    </w:p>
    <w:p>
      <w:pPr>
        <w:spacing w:after="0" w:line="225" w:lineRule="exact"/>
        <w:rPr>
          <w:sz w:val="20"/>
          <w:szCs w:val="20"/>
          <w:color w:val="auto"/>
        </w:rPr>
      </w:pPr>
    </w:p>
    <w:p>
      <w:pPr>
        <w:jc w:val="both"/>
        <w:ind w:firstLine="656"/>
        <w:spacing w:after="0" w:line="281" w:lineRule="auto"/>
        <w:tabs>
          <w:tab w:leader="none" w:pos="1302"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the case of a Make-Whole Fundamental Change pursuant to </w:t>
      </w:r>
      <w:r>
        <w:rPr>
          <w:rFonts w:ascii="Arial" w:cs="Arial" w:eastAsia="Arial" w:hAnsi="Arial"/>
          <w:sz w:val="17"/>
          <w:szCs w:val="17"/>
          <w:b w:val="1"/>
          <w:bCs w:val="1"/>
          <w:color w:val="auto"/>
        </w:rPr>
        <w:t>clause (A)</w:t>
      </w:r>
      <w:r>
        <w:rPr>
          <w:rFonts w:ascii="Arial" w:cs="Arial" w:eastAsia="Arial" w:hAnsi="Arial"/>
          <w:sz w:val="17"/>
          <w:szCs w:val="17"/>
          <w:color w:val="auto"/>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64" w:lineRule="exact"/>
        <w:rPr>
          <w:rFonts w:ascii="Arial" w:cs="Arial" w:eastAsia="Arial" w:hAnsi="Arial"/>
          <w:sz w:val="17"/>
          <w:szCs w:val="17"/>
          <w:color w:val="auto"/>
        </w:rPr>
      </w:pPr>
    </w:p>
    <w:p>
      <w:pPr>
        <w:ind w:right="20" w:firstLine="656"/>
        <w:spacing w:after="0" w:line="312" w:lineRule="auto"/>
        <w:tabs>
          <w:tab w:leader="none" w:pos="1292"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the case of a Make-Whole Fundamental Change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of the definition thereof, the period from, and including, the Redemption Notice Date for the related Redemption to, and including, the Business Day immediately before the related Redemption Date.</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Effective Date</w:t>
      </w:r>
      <w:r>
        <w:rPr>
          <w:rFonts w:ascii="Arial" w:cs="Arial" w:eastAsia="Arial" w:hAnsi="Arial"/>
          <w:sz w:val="18"/>
          <w:szCs w:val="18"/>
          <w:color w:val="auto"/>
        </w:rPr>
        <w:t xml:space="preserve">” (A) with respect to a Make-Whole Fundamental Change pursuant to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the definition thereof, the date on which such Make-Whole Fundamental Change occurs or becomes effective; and (B) with respect to a Make-Whole Fundamental Change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of the definition thereof, the applicable Redemption Notice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June 15, 2026.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Non-Affiliate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the 0.625% Convertible Senior Notes due 2026 issued by the Company pursuant to this Indenture.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xml:space="preserve">” means, with respect to any Note to be converted, (A) subject to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below, if the Conversion Date for such Note occurs before the fifty-fifth (55th) Scheduled Trading Day immediately before the Maturity Date, the twenty-five (25) consecutive VWAP Trading Days beginning on, and including, the third (3rd) VWAP Trading Day immediately after such Conversion Date; (B), if such Conversion Date occurs on or after the date the Company has sent a Redemption Notice calling such Note for Redemption pursuant to </w:t>
      </w:r>
      <w:r>
        <w:rPr>
          <w:rFonts w:ascii="Arial" w:cs="Arial" w:eastAsia="Arial" w:hAnsi="Arial"/>
          <w:sz w:val="16"/>
          <w:szCs w:val="16"/>
          <w:b w:val="1"/>
          <w:bCs w:val="1"/>
          <w:color w:val="auto"/>
        </w:rPr>
        <w:t>Section 4.03(F)</w:t>
      </w:r>
      <w:r>
        <w:rPr>
          <w:rFonts w:ascii="Arial" w:cs="Arial" w:eastAsia="Arial" w:hAnsi="Arial"/>
          <w:sz w:val="16"/>
          <w:szCs w:val="16"/>
          <w:color w:val="auto"/>
        </w:rPr>
        <w:t xml:space="preserve"> and before the related Redemption</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Date, the twenty-five (25) consecutive VWAP Trading Days beginning on, and including, the twenty-sixth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Scheduled Trading Day immediately before such Redemption Date; and (C) subject to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above, if such conversion date occurs on or after the fifty-fifth (55</w:t>
      </w:r>
      <w:r>
        <w:rPr>
          <w:rFonts w:ascii="Arial" w:cs="Arial" w:eastAsia="Arial" w:hAnsi="Arial"/>
          <w:sz w:val="26"/>
          <w:szCs w:val="26"/>
          <w:color w:val="auto"/>
          <w:vertAlign w:val="superscript"/>
        </w:rPr>
        <w:t>th</w:t>
      </w:r>
      <w:r>
        <w:rPr>
          <w:rFonts w:ascii="Arial" w:cs="Arial" w:eastAsia="Arial" w:hAnsi="Arial"/>
          <w:sz w:val="16"/>
          <w:szCs w:val="16"/>
          <w:color w:val="auto"/>
        </w:rPr>
        <w:t>) Scheduled Trading Day</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immediately before the Maturity Date, the twenty-five (25) consecutive VWAP Trading Days beginning on, and including, the twenty-sixth (26</w:t>
      </w:r>
      <w:r>
        <w:rPr>
          <w:rFonts w:ascii="Arial" w:cs="Arial" w:eastAsia="Arial" w:hAnsi="Arial"/>
          <w:sz w:val="29"/>
          <w:szCs w:val="29"/>
          <w:color w:val="auto"/>
          <w:vertAlign w:val="superscript"/>
        </w:rPr>
        <w:t>th</w:t>
      </w:r>
      <w:r>
        <w:rPr>
          <w:rFonts w:ascii="Arial" w:cs="Arial" w:eastAsia="Arial" w:hAnsi="Arial"/>
          <w:sz w:val="18"/>
          <w:szCs w:val="18"/>
          <w:color w:val="auto"/>
        </w:rPr>
        <w:t>) Scheduled Trading Day immediately before the Maturity Date.</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that is signed on behalf of the Company by one (1) of its Officers and that, unless otherwise expressly provided in this Indenture, meets the requirements of </w:t>
      </w:r>
      <w:r>
        <w:rPr>
          <w:rFonts w:ascii="Arial" w:cs="Arial" w:eastAsia="Arial" w:hAnsi="Arial"/>
          <w:sz w:val="18"/>
          <w:szCs w:val="18"/>
          <w:b w:val="1"/>
          <w:bCs w:val="1"/>
          <w:color w:val="auto"/>
        </w:rPr>
        <w:t>Section 11.03</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xml:space="preserve">” means an opinion, from legal counsel (including an employee of, or counsel to, the Company or any of its Subsidiaries) reasonably acceptable to the Trustee, that, unless otherwise expressly provided in this Indenture, meets the requirements of </w:t>
      </w:r>
      <w:r>
        <w:rPr>
          <w:rFonts w:ascii="Arial" w:cs="Arial" w:eastAsia="Arial" w:hAnsi="Arial"/>
          <w:sz w:val="18"/>
          <w:szCs w:val="18"/>
          <w:b w:val="1"/>
          <w:bCs w:val="1"/>
          <w:color w:val="auto"/>
        </w:rPr>
        <w:t>Section 11.03</w:t>
      </w:r>
      <w:r>
        <w:rPr>
          <w:rFonts w:ascii="Arial" w:cs="Arial" w:eastAsia="Arial" w:hAnsi="Arial"/>
          <w:sz w:val="18"/>
          <w:szCs w:val="18"/>
          <w:color w:val="auto"/>
        </w:rPr>
        <w:t>, subject to customary qualifications and exclusions.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government or other agency or political subdivision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w:t>
      </w:r>
      <w:r>
        <w:rPr>
          <w:rFonts w:ascii="Arial" w:cs="Arial" w:eastAsia="Arial" w:hAnsi="Arial"/>
          <w:sz w:val="18"/>
          <w:szCs w:val="18"/>
          <w:color w:val="auto"/>
        </w:rPr>
        <w:t xml:space="preserve">” means a Note (other than a Global Note) that is represented by a certificate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registered in the name of the Holder of such Note and duly executed by the Company and authenticated by the Trustee.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 of Payment</w:t>
      </w:r>
      <w:r>
        <w:rPr>
          <w:rFonts w:ascii="Arial" w:cs="Arial" w:eastAsia="Arial" w:hAnsi="Arial"/>
          <w:sz w:val="18"/>
          <w:szCs w:val="18"/>
          <w:color w:val="auto"/>
        </w:rPr>
        <w:t xml:space="preserve">” means the office or agency of the Paying Agent established pursuant to </w:t>
      </w:r>
      <w:r>
        <w:rPr>
          <w:rFonts w:ascii="Arial" w:cs="Arial" w:eastAsia="Arial" w:hAnsi="Arial"/>
          <w:sz w:val="18"/>
          <w:szCs w:val="18"/>
          <w:b w:val="1"/>
          <w:bCs w:val="1"/>
          <w:color w:val="auto"/>
        </w:rPr>
        <w:t>Section 2.06(A)</w:t>
      </w:r>
      <w:r>
        <w:rPr>
          <w:rFonts w:ascii="Arial" w:cs="Arial" w:eastAsia="Arial" w:hAnsi="Arial"/>
          <w:sz w:val="18"/>
          <w:szCs w:val="18"/>
          <w:color w:val="auto"/>
        </w:rPr>
        <w:t xml:space="preserve"> where Notes may be presented for payment, which office or agency, for the avoidance of doubt, must be in the continental United States.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that certain Purchase Agreement, dated June 15, 2021, between the Company and the representatives of the Initial Purchasers.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4.03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xml:space="preserve">” means the date fixed, pursuant to </w:t>
      </w:r>
      <w:r>
        <w:rPr>
          <w:rFonts w:ascii="Arial" w:cs="Arial" w:eastAsia="Arial" w:hAnsi="Arial"/>
          <w:sz w:val="18"/>
          <w:szCs w:val="18"/>
          <w:b w:val="1"/>
          <w:bCs w:val="1"/>
          <w:color w:val="auto"/>
        </w:rPr>
        <w:t>Section 4.03(D)</w:t>
      </w:r>
      <w:r>
        <w:rPr>
          <w:rFonts w:ascii="Arial" w:cs="Arial" w:eastAsia="Arial" w:hAnsi="Arial"/>
          <w:sz w:val="18"/>
          <w:szCs w:val="18"/>
          <w:color w:val="auto"/>
        </w:rPr>
        <w:t>, for the settlement of the repurchase of any Notes by the Company pursuant to a Redemption.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 Date</w:t>
      </w:r>
      <w:r>
        <w:rPr>
          <w:rFonts w:ascii="Arial" w:cs="Arial" w:eastAsia="Arial" w:hAnsi="Arial"/>
          <w:sz w:val="18"/>
          <w:szCs w:val="18"/>
          <w:color w:val="auto"/>
        </w:rPr>
        <w:t xml:space="preserve">” means, with respect to a Redemption, the date on which the Company sends the Redemption Notice for such Redemption pursuant to </w:t>
      </w:r>
      <w:r>
        <w:rPr>
          <w:rFonts w:ascii="Arial" w:cs="Arial" w:eastAsia="Arial" w:hAnsi="Arial"/>
          <w:sz w:val="18"/>
          <w:szCs w:val="18"/>
          <w:b w:val="1"/>
          <w:bCs w:val="1"/>
          <w:color w:val="auto"/>
        </w:rPr>
        <w:t>Section 4.03(F)</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the cash price payable by the Company to redeem any Note upon its Redemption, calculated pursuant to </w:t>
      </w:r>
      <w:r>
        <w:rPr>
          <w:rFonts w:ascii="Arial" w:cs="Arial" w:eastAsia="Arial" w:hAnsi="Arial"/>
          <w:sz w:val="16"/>
          <w:szCs w:val="16"/>
          <w:b w:val="1"/>
          <w:bCs w:val="1"/>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4.03(E)</w:t>
      </w:r>
      <w:r>
        <w:rPr>
          <w:rFonts w:ascii="Arial" w:cs="Arial" w:eastAsia="Arial" w:hAnsi="Arial"/>
          <w:sz w:val="18"/>
          <w:szCs w:val="18"/>
          <w:color w:val="auto"/>
        </w:rPr>
        <w:t>.</w:t>
      </w:r>
    </w:p>
    <w:p>
      <w:pPr>
        <w:spacing w:after="0" w:line="20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Regular Record Date</w:t>
      </w:r>
      <w:r>
        <w:rPr>
          <w:rFonts w:ascii="Arial" w:cs="Arial" w:eastAsia="Arial" w:hAnsi="Arial"/>
          <w:sz w:val="17"/>
          <w:szCs w:val="17"/>
          <w:color w:val="auto"/>
        </w:rPr>
        <w:t>” has the following meaning with respect to an Interest Payment Date: (A) if such Interest Payment Date occurs on June 15, the immediately preceding June 1; and (B) if such Interest Payment Date occurs on December 15, the immediately preceding December 1.</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4.02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(A) any officer within the Corporate Trust Administration of the Trustee (or any successor group of the Trustee) or any other officer of the Trustee customarily performing functions similar to those performed by any of such officers; and (B) with respect to a particular corporate trust matter, any other officer to whom such matter is referred because of his or her knowledge of, and familiarity with, the particular subject.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B-1</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Legend</w:t>
      </w:r>
      <w:r>
        <w:rPr>
          <w:rFonts w:ascii="Arial" w:cs="Arial" w:eastAsia="Arial" w:hAnsi="Arial"/>
          <w:sz w:val="16"/>
          <w:szCs w:val="16"/>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w:t>
      </w:r>
      <w:r>
        <w:rPr>
          <w:rFonts w:ascii="Arial" w:cs="Arial" w:eastAsia="Arial" w:hAnsi="Arial"/>
          <w:sz w:val="17"/>
          <w:szCs w:val="17"/>
          <w:color w:val="auto"/>
        </w:rPr>
        <w:t>” means Rule 144 under the Securities Act (or any successor rule thereto), as the same may be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144A</w:t>
      </w:r>
      <w:r>
        <w:rPr>
          <w:rFonts w:ascii="Arial" w:cs="Arial" w:eastAsia="Arial" w:hAnsi="Arial"/>
          <w:sz w:val="17"/>
          <w:szCs w:val="17"/>
          <w:color w:val="auto"/>
        </w:rPr>
        <w:t>” means Rule 144A under the Securities Act (or any successor rule thereto), as the same may be amended from time to time.</w:t>
      </w:r>
    </w:p>
    <w:p>
      <w:pPr>
        <w:spacing w:after="0" w:line="23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Scheduled Trading Day</w:t>
      </w:r>
      <w:r>
        <w:rPr>
          <w:rFonts w:ascii="Arial" w:cs="Arial" w:eastAsia="Arial" w:hAnsi="Arial"/>
          <w:sz w:val="16"/>
          <w:szCs w:val="16"/>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Cash Settlement or Combination Settlement.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Shoe Option</w:t>
      </w:r>
      <w:r>
        <w:rPr>
          <w:rFonts w:ascii="Arial" w:cs="Arial" w:eastAsia="Arial" w:hAnsi="Arial"/>
          <w:sz w:val="18"/>
          <w:szCs w:val="18"/>
          <w:color w:val="auto"/>
        </w:rPr>
        <w:t>” means the Initial Purchasers’ option to purchase up to twenty-five million dollars ($25,000,000) aggregate principal amount of additional Notes as provided for in the Purchase Agreement.</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xml:space="preserve">” means, with respect to any Person, any Subsidiary of such Person that constitutes a “significant subsidiary” (as defined in Article 1, Rule 1-02(w) of Regulation S-X under the Exchange Act)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 Subsidiary meets the criteria of clause</w:t>
      </w:r>
    </w:p>
    <w:p>
      <w:pPr>
        <w:spacing w:after="0" w:line="1" w:lineRule="exact"/>
        <w:rPr>
          <w:sz w:val="20"/>
          <w:szCs w:val="20"/>
          <w:color w:val="auto"/>
        </w:rPr>
      </w:pPr>
    </w:p>
    <w:p>
      <w:pPr>
        <w:jc w:val="both"/>
        <w:ind w:firstLine="8"/>
        <w:spacing w:after="0" w:line="288" w:lineRule="auto"/>
        <w:tabs>
          <w:tab w:leader="none" w:pos="261"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the definition of “significant subsidiary” in Rule 1-02(w) but not clause (1) or (2) thereof, in each case as such rule is in effect on the date on which the Notes are first issued, then such Subsidiary will not be deemed not to be a Significant Subsidiary of that person unless such Subsidiary’s income from continuing operations before income taxes, extraordinary items and cumulative effect of a change in accounting principle, exclusive of amounts attributable to any non-controlling interests, for the last completed fiscal year before the date of determination exceeds $35,000,000. To the extent any such Subsidiary would not be deemed to be a “significant subsidiary” under the relevant definition set forth in Article 1, Rule 1-02(w) of Regulation S-X (or any successor rule) as in effect on the relevant date of determination, such Subsidiary shall not be deemed to be a Significant Subsidiary irrespective of whether such Subsidiary would otherwise be deemed to be a Significant Subsidiary pursuant to the immediately preceding sentence.</w:t>
      </w:r>
    </w:p>
    <w:p>
      <w:pPr>
        <w:spacing w:after="0" w:line="384" w:lineRule="exact"/>
        <w:rPr>
          <w:rFonts w:ascii="Arial" w:cs="Arial" w:eastAsia="Arial" w:hAnsi="Arial"/>
          <w:sz w:val="16"/>
          <w:szCs w:val="16"/>
          <w:color w:val="auto"/>
        </w:rPr>
      </w:pPr>
    </w:p>
    <w:p>
      <w:pPr>
        <w:ind w:left="5580" w:hanging="106"/>
        <w:spacing w:after="0"/>
        <w:tabs>
          <w:tab w:leader="none" w:pos="5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7.03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Dollar Amount</w:t>
      </w:r>
      <w:r>
        <w:rPr>
          <w:rFonts w:ascii="Arial" w:cs="Arial" w:eastAsia="Arial" w:hAnsi="Arial"/>
          <w:sz w:val="17"/>
          <w:szCs w:val="17"/>
          <w:color w:val="auto"/>
        </w:rPr>
        <w:t xml:space="preserve">” means, with respect to the conversion of a Note to which Combination Settlement applies, the maximum cash amount per $1,000 principal amount of such Note deliverable upon such conversion (excluding cash in lieu of any fractional share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 no event will the Specified Dollar Amount be less than $1,000 per $1,000 principal amount of such Note.</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Arial" w:cs="Arial" w:eastAsia="Arial" w:hAnsi="Arial"/>
          <w:sz w:val="18"/>
          <w:szCs w:val="18"/>
          <w:b w:val="1"/>
          <w:bCs w:val="1"/>
          <w:color w:val="auto"/>
        </w:rPr>
        <w:t xml:space="preserve">clause (B) </w:t>
      </w:r>
      <w:r>
        <w:rPr>
          <w:rFonts w:ascii="Arial" w:cs="Arial" w:eastAsia="Arial" w:hAnsi="Arial"/>
          <w:sz w:val="18"/>
          <w:szCs w:val="18"/>
          <w:color w:val="auto"/>
        </w:rPr>
        <w:t>of the definition of “Fundamental Change,” then the Stock Price is the amount of cash paid per share of Common Stock in such Make-Whole</w:t>
      </w:r>
      <w:r>
        <w:rPr>
          <w:rFonts w:ascii="Arial" w:cs="Arial" w:eastAsia="Arial" w:hAnsi="Arial"/>
          <w:sz w:val="18"/>
          <w:szCs w:val="18"/>
          <w:b w:val="1"/>
          <w:bCs w:val="1"/>
          <w:color w:val="auto"/>
        </w:rPr>
        <w:t xml:space="preserve"> </w:t>
      </w:r>
      <w:r>
        <w:rPr>
          <w:rFonts w:ascii="Arial" w:cs="Arial" w:eastAsia="Arial" w:hAnsi="Arial"/>
          <w:sz w:val="18"/>
          <w:szCs w:val="18"/>
          <w:color w:val="auto"/>
        </w:rPr>
        <w:t>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of the Notes on any Trading Day means the average of the secondary market bid quotations, expressed as a cash amount per $1,000 principal amount of Notes, obtained by the Bid Solicitation Agent for five million dollars ($5,000,000)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five million dollars ($5,000,000)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Transfer-Restricted Security</w:t>
      </w:r>
      <w:r>
        <w:rPr>
          <w:rFonts w:ascii="Arial" w:cs="Arial" w:eastAsia="Arial" w:hAnsi="Arial"/>
          <w:sz w:val="16"/>
          <w:szCs w:val="16"/>
          <w:color w:val="auto"/>
        </w:rPr>
        <w:t xml:space="preserve">” means any Security that constitutes a “restricted security” (as defined in Rule 144);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Security will cease to be a Transfer-Restricted Security upon the earliest to occur of the following events:</w:t>
      </w:r>
    </w:p>
    <w:p>
      <w:pPr>
        <w:spacing w:after="0" w:line="211" w:lineRule="exact"/>
        <w:rPr>
          <w:sz w:val="20"/>
          <w:szCs w:val="20"/>
          <w:color w:val="auto"/>
        </w:rPr>
      </w:pPr>
    </w:p>
    <w:p>
      <w:pPr>
        <w:jc w:val="both"/>
        <w:ind w:firstLine="656"/>
        <w:spacing w:after="0" w:line="263" w:lineRule="auto"/>
        <w:tabs>
          <w:tab w:leader="none" w:pos="1274"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Security is sold or otherwise transferred to a Person (other than the Company, an Affiliate of the Company or a Person that was an Affiliate of the Company in the three months immediately preceding) pursuant to a registration statement that was effective under the Securities Act at the time of such sale or transfer;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67"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Security is sold or otherwise transferred to a Person (other than the Company, an Affiliate of the Company or a Person that was an Affiliate of the Company in the three months immediately preceding)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243"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Trustee is under no obligation to determine whether any Security is a Transfer-Restricted Security and may conclusively rely on an Officer’s Certificate with respect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U.S. Trust Indenture Act of 1939, as amended.</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such in the first paragraph of this Indenture until a successor replaces it in accordance with the provisions of this Indenture and, thereafter, means such successor.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Trading Day</w:t>
      </w:r>
      <w:r>
        <w:rPr>
          <w:rFonts w:ascii="Arial" w:cs="Arial" w:eastAsia="Arial" w:hAnsi="Arial"/>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xml:space="preserve">” of a Person means any Subsidiary of such Person, determined by reference to the definition of “Subsidiary” above but with each reference therein to “more than fifty percent (50%)” deemed to be replaced with “one hundred percent (100%)” for purposes of this definition;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directors’ qualifying shares will be disregarded for purposes of determining whether any Person is a Wholly Owned Subsidiary of another Person.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Section 1.02.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tc>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Defined in</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Term</w:t>
            </w:r>
          </w:p>
        </w:tc>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Section</w:t>
            </w:r>
          </w:p>
        </w:tc>
      </w:tr>
      <w:tr>
        <w:trPr>
          <w:trHeight w:val="209"/>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“Additional Shares”</w:t>
            </w:r>
          </w:p>
        </w:tc>
        <w:tc>
          <w:tcPr>
            <w:tcW w:w="5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 (A)</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“Applicable Tax Law”</w:t>
            </w:r>
          </w:p>
        </w:tc>
        <w:tc>
          <w:tcPr>
            <w:tcW w:w="68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11.17</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Combination Event”</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 (A)</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“Cash Settlement”</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5.03 (A)</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“Combination Settlement”</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 (A)</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“Common Stock Change Event”</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5.09 (A)</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“Conversion Agent”</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 (A)</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“Conversion Consideration”</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5.03 (B)</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“Default Interest”</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 (B)</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“Defaulted Amount”</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2.05 (B)</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“Event of Default”</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 (A)</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5.05 (A)(v)</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“Expiration Time”</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 (A)(v)</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“Fundamental Change Notice”</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4.02 (E)</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“Fundamental Change Repurchase Right”</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 (A)</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“Initial Notes”</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2.03(A)</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“Measurement Period”</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 (C)(i)(2)</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“Paying Agent”</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2.06 (A)</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“Redemption Notice”</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 (F)</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“Reference Property”</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5.09 (A)</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“Reference Property Unit”</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 (A)</w:t>
            </w:r>
          </w:p>
        </w:tc>
        <w:tc>
          <w:tcPr>
            <w:tcW w:w="20" w:type="dxa"/>
            <w:vAlign w:val="bottom"/>
          </w:tcPr>
          <w:p>
            <w:pPr>
              <w:spacing w:after="0"/>
              <w:rPr>
                <w:sz w:val="18"/>
                <w:szCs w:val="18"/>
                <w:color w:val="auto"/>
              </w:rPr>
            </w:pPr>
          </w:p>
        </w:tc>
      </w:tr>
      <w:tr>
        <w:trPr>
          <w:trHeight w:val="648"/>
        </w:trPr>
        <w:tc>
          <w:tcPr>
            <w:tcW w:w="4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jc w:val="right"/>
              <w:ind w:right="3630"/>
              <w:spacing w:after="0"/>
              <w:rPr>
                <w:sz w:val="20"/>
                <w:szCs w:val="20"/>
                <w:color w:val="auto"/>
              </w:rPr>
            </w:pPr>
            <w:r>
              <w:rPr>
                <w:rFonts w:ascii="Arial" w:cs="Arial" w:eastAsia="Arial" w:hAnsi="Arial"/>
                <w:sz w:val="18"/>
                <w:szCs w:val="18"/>
                <w:color w:val="auto"/>
              </w:rPr>
              <w:t>- 12 -</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“Register”</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 (B)</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“Registrar”</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2.06 (A)</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“Reporting Event of Default”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 (A)</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“Specified Courts”</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11.07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“Spin-Off”</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 (A)(iii)(2)</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“Spin-Off Valuation Period”</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5.05 (A)(iii)(2)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“Stated Interest”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 (A)</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“Successor Corporation”</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6.01 (A)</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“Successor Person”</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 (A)</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“Tender/Exchange Offer Valuation Period”</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5.05 (A)(v)</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Price Condition”</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 (C)(i)(2)</w:t>
            </w:r>
          </w:p>
        </w:tc>
      </w:t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“Trigger Event”</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5.05(A)(iii)(1)</w:t>
            </w:r>
          </w:p>
        </w:tc>
      </w:tr>
    </w:tbl>
    <w:p>
      <w:pPr>
        <w:spacing w:after="0" w:line="1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1.03.</w:t>
        <w:tab/>
        <w:t>R</w:t>
      </w:r>
      <w:r>
        <w:rPr>
          <w:rFonts w:ascii="Arial" w:cs="Arial" w:eastAsia="Arial" w:hAnsi="Arial"/>
          <w:sz w:val="12"/>
          <w:szCs w:val="12"/>
          <w:b w:val="1"/>
          <w:bCs w:val="1"/>
          <w:color w:val="auto"/>
        </w:rPr>
        <w:t>ULES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ONSTRUCTION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Indenture:</w:t>
      </w:r>
    </w:p>
    <w:p>
      <w:pPr>
        <w:spacing w:after="0" w:line="225" w:lineRule="exact"/>
        <w:rPr>
          <w:sz w:val="20"/>
          <w:szCs w:val="20"/>
          <w:color w:val="auto"/>
        </w:rPr>
      </w:pPr>
    </w:p>
    <w:p>
      <w:pPr>
        <w:ind w:left="1440" w:hanging="78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480" w:hanging="824"/>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1480" w:hanging="824"/>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expresses a command;</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of a set of numerical values refers to the arithmetic average of such numerical values;</w:t>
      </w:r>
    </w:p>
    <w:p>
      <w:pPr>
        <w:spacing w:after="0" w:line="225" w:lineRule="exact"/>
        <w:rPr>
          <w:rFonts w:ascii="Arial" w:cs="Arial" w:eastAsia="Arial" w:hAnsi="Arial"/>
          <w:sz w:val="18"/>
          <w:szCs w:val="18"/>
          <w:color w:val="auto"/>
        </w:rPr>
      </w:pPr>
    </w:p>
    <w:p>
      <w:pPr>
        <w:ind w:left="1480" w:hanging="824"/>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unless the context requires otherwise;</w:t>
      </w:r>
    </w:p>
    <w:p>
      <w:pPr>
        <w:spacing w:after="0" w:line="225" w:lineRule="exact"/>
        <w:rPr>
          <w:rFonts w:ascii="Arial" w:cs="Arial" w:eastAsia="Arial" w:hAnsi="Arial"/>
          <w:sz w:val="18"/>
          <w:szCs w:val="18"/>
          <w:color w:val="auto"/>
        </w:rPr>
      </w:pPr>
    </w:p>
    <w:p>
      <w:pPr>
        <w:ind w:firstLine="656"/>
        <w:spacing w:after="0" w:line="277" w:lineRule="auto"/>
        <w:tabs>
          <w:tab w:leader="none" w:pos="16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currency mean the lawful currency of the United States of America, unless the context requires otherwise;</w:t>
      </w:r>
    </w:p>
    <w:p>
      <w:pPr>
        <w:spacing w:after="0" w:line="225" w:lineRule="exact"/>
        <w:rPr>
          <w:rFonts w:ascii="Arial" w:cs="Arial" w:eastAsia="Arial" w:hAnsi="Arial"/>
          <w:sz w:val="18"/>
          <w:szCs w:val="18"/>
          <w:color w:val="auto"/>
        </w:rPr>
      </w:pPr>
    </w:p>
    <w:p>
      <w:pPr>
        <w:ind w:left="1440" w:hanging="78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exhibits, schedules and other attachments to this Indenture are deemed to form part of this Indenture; and</w:t>
      </w:r>
    </w:p>
    <w:p>
      <w:pPr>
        <w:spacing w:after="0" w:line="221" w:lineRule="exact"/>
        <w:rPr>
          <w:rFonts w:ascii="Arial" w:cs="Arial" w:eastAsia="Arial" w:hAnsi="Arial"/>
          <w:sz w:val="18"/>
          <w:szCs w:val="18"/>
          <w:color w:val="auto"/>
        </w:rPr>
      </w:pPr>
    </w:p>
    <w:p>
      <w:pPr>
        <w:ind w:left="1460" w:hanging="804"/>
        <w:spacing w:after="0"/>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interest</w:t>
      </w:r>
      <w:r>
        <w:rPr>
          <w:rFonts w:ascii="Arial" w:cs="Arial" w:eastAsia="Arial" w:hAnsi="Arial"/>
          <w:sz w:val="16"/>
          <w:szCs w:val="16"/>
          <w:color w:val="auto"/>
        </w:rPr>
        <w:t>,” when used with respect to a Note, includes any Additional Interest and Special Interest, unless the context requires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otherwise.</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2" w:name="page23"/>
    <w:bookmarkEnd w:id="22"/>
    <w:p>
      <w:pPr>
        <w:ind w:left="4540"/>
        <w:spacing w:after="0"/>
        <w:tabs>
          <w:tab w:leader="none" w:pos="564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8"/>
          <w:szCs w:val="18"/>
          <w:b w:val="1"/>
          <w:bCs w:val="1"/>
          <w:color w:val="auto"/>
        </w:rPr>
        <w:t>THE NOTES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2.01.</w:t>
        <w:tab/>
        <w:t>F</w:t>
      </w:r>
      <w:r>
        <w:rPr>
          <w:rFonts w:ascii="Arial" w:cs="Arial" w:eastAsia="Arial" w:hAnsi="Arial"/>
          <w:sz w:val="12"/>
          <w:szCs w:val="12"/>
          <w:b w:val="1"/>
          <w:bCs w:val="1"/>
          <w:color w:val="auto"/>
        </w:rPr>
        <w:t>ORM</w:t>
      </w:r>
      <w:r>
        <w:rPr>
          <w:rFonts w:ascii="Arial" w:cs="Arial" w:eastAsia="Arial" w:hAnsi="Arial"/>
          <w:sz w:val="18"/>
          <w:szCs w:val="18"/>
          <w:b w:val="1"/>
          <w:bCs w:val="1"/>
          <w:color w:val="auto"/>
        </w:rPr>
        <w:t>, D</w:t>
      </w:r>
      <w:r>
        <w:rPr>
          <w:rFonts w:ascii="Arial" w:cs="Arial" w:eastAsia="Arial" w:hAnsi="Arial"/>
          <w:sz w:val="12"/>
          <w:szCs w:val="12"/>
          <w:b w:val="1"/>
          <w:bCs w:val="1"/>
          <w:color w:val="auto"/>
        </w:rPr>
        <w:t>ATING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ENOMINATIONS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Notes and the Trustee’s certificate of authentication will be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Notes will bear the legends required by </w:t>
      </w:r>
      <w:r>
        <w:rPr>
          <w:rFonts w:ascii="Arial" w:cs="Arial" w:eastAsia="Arial" w:hAnsi="Arial"/>
          <w:sz w:val="18"/>
          <w:szCs w:val="18"/>
          <w:b w:val="1"/>
          <w:bCs w:val="1"/>
          <w:color w:val="auto"/>
        </w:rPr>
        <w:t>Section 2.09</w:t>
      </w:r>
      <w:r>
        <w:rPr>
          <w:rFonts w:ascii="Arial" w:cs="Arial" w:eastAsia="Arial" w:hAnsi="Arial"/>
          <w:sz w:val="18"/>
          <w:szCs w:val="18"/>
          <w:color w:val="auto"/>
        </w:rPr>
        <w:t xml:space="preserve"> and may bear notations, legends or endorsements required by law, stock exchange rule or usage or the Depositary. Each Note will be dated as of the date of its authentication.</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Arial" w:cs="Arial" w:eastAsia="Arial" w:hAnsi="Arial"/>
          <w:sz w:val="18"/>
          <w:szCs w:val="18"/>
          <w:b w:val="1"/>
          <w:bCs w:val="1"/>
          <w:color w:val="auto"/>
        </w:rPr>
        <w:t>Section 2.10</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certificate representing a Note will bear a unique registration number that is not affixed to any other certificate representing another outstanding Note.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that any provision of any Note conflicts with the provisions of this Indenture, the provisions of this Indenture will control for purposes of this Indenture and such Note.</w:t>
      </w:r>
    </w:p>
    <w:p>
      <w:pPr>
        <w:spacing w:after="0" w:line="16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2.02.</w:t>
        <w:tab/>
        <w:t>E</w:t>
      </w:r>
      <w:r>
        <w:rPr>
          <w:rFonts w:ascii="Arial" w:cs="Arial" w:eastAsia="Arial" w:hAnsi="Arial"/>
          <w:sz w:val="12"/>
          <w:szCs w:val="12"/>
          <w:b w:val="1"/>
          <w:bCs w:val="1"/>
          <w:color w:val="auto"/>
        </w:rPr>
        <w:t>XECUTION</w:t>
      </w:r>
      <w:r>
        <w:rPr>
          <w:rFonts w:ascii="Arial" w:cs="Arial" w:eastAsia="Arial" w:hAnsi="Arial"/>
          <w:sz w:val="18"/>
          <w:szCs w:val="18"/>
          <w:b w:val="1"/>
          <w:bCs w:val="1"/>
          <w:color w:val="auto"/>
        </w:rPr>
        <w:t>, A</w:t>
      </w:r>
      <w:r>
        <w:rPr>
          <w:rFonts w:ascii="Arial" w:cs="Arial" w:eastAsia="Arial" w:hAnsi="Arial"/>
          <w:sz w:val="12"/>
          <w:szCs w:val="12"/>
          <w:b w:val="1"/>
          <w:bCs w:val="1"/>
          <w:color w:val="auto"/>
        </w:rPr>
        <w:t>UTHENTICATION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ELIVERY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55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Due Execution by the Company</w:t>
      </w:r>
      <w:r>
        <w:rPr>
          <w:rFonts w:ascii="Arial" w:cs="Arial" w:eastAsia="Arial" w:hAnsi="Arial"/>
          <w:sz w:val="18"/>
          <w:szCs w:val="18"/>
          <w:color w:val="auto"/>
        </w:rPr>
        <w:t>. At least one (1) duly authorized Officer will sign the Notes on behalf of the Company by manual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facsimile signature or as otherwise provided for by </w:t>
      </w:r>
      <w:r>
        <w:rPr>
          <w:rFonts w:ascii="Arial" w:cs="Arial" w:eastAsia="Arial" w:hAnsi="Arial"/>
          <w:sz w:val="18"/>
          <w:szCs w:val="18"/>
          <w:b w:val="1"/>
          <w:bCs w:val="1"/>
          <w:color w:val="auto"/>
        </w:rPr>
        <w:t>Section 11.18</w:t>
      </w:r>
      <w:r>
        <w:rPr>
          <w:rFonts w:ascii="Arial" w:cs="Arial" w:eastAsia="Arial" w:hAnsi="Arial"/>
          <w:sz w:val="18"/>
          <w:szCs w:val="18"/>
          <w:color w:val="auto"/>
        </w:rPr>
        <w:t>. A Note’s validity will not be affected by the failure of any Officer whose signature is on any Note to hold, at the time such Note is authenticated, the same or any other office at the Company.</w:t>
      </w:r>
    </w:p>
    <w:p>
      <w:pPr>
        <w:spacing w:after="0" w:line="183" w:lineRule="exact"/>
        <w:rPr>
          <w:rFonts w:ascii="Arial" w:cs="Arial" w:eastAsia="Arial" w:hAnsi="Arial"/>
          <w:sz w:val="18"/>
          <w:szCs w:val="18"/>
          <w:color w:val="auto"/>
        </w:rPr>
      </w:pPr>
    </w:p>
    <w:p>
      <w:pPr>
        <w:ind w:left="1520" w:hanging="864"/>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Authentication by the Trustee and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342" w:lineRule="auto"/>
        <w:tabs>
          <w:tab w:leader="none" w:pos="2296"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23" w:lineRule="exact"/>
        <w:rPr>
          <w:rFonts w:ascii="Arial" w:cs="Arial" w:eastAsia="Arial" w:hAnsi="Arial"/>
          <w:sz w:val="16"/>
          <w:szCs w:val="16"/>
          <w:color w:val="auto"/>
        </w:rPr>
      </w:pPr>
    </w:p>
    <w:p>
      <w:pPr>
        <w:jc w:val="both"/>
        <w:ind w:left="660" w:firstLine="644"/>
        <w:spacing w:after="0" w:line="255" w:lineRule="auto"/>
        <w:tabs>
          <w:tab w:leader="none" w:pos="21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Arial" w:cs="Arial" w:eastAsia="Arial" w:hAnsi="Arial"/>
          <w:sz w:val="18"/>
          <w:szCs w:val="18"/>
          <w:b w:val="1"/>
          <w:bCs w:val="1"/>
          <w:color w:val="auto"/>
        </w:rPr>
        <w:t>Section 2.02(A)</w:t>
      </w:r>
      <w:r>
        <w:rPr>
          <w:rFonts w:ascii="Arial" w:cs="Arial" w:eastAsia="Arial" w:hAnsi="Arial"/>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hanging="111"/>
        <w:spacing w:after="0"/>
        <w:tabs>
          <w:tab w:leader="none" w:pos="55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60" w:firstLine="644"/>
        <w:spacing w:after="0" w:line="257" w:lineRule="auto"/>
        <w:tabs>
          <w:tab w:leader="none" w:pos="2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authentication agent was validly appointed to undertake.</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2.03.</w:t>
        <w:tab/>
        <w:t>I</w:t>
      </w:r>
      <w:r>
        <w:rPr>
          <w:rFonts w:ascii="Arial" w:cs="Arial" w:eastAsia="Arial" w:hAnsi="Arial"/>
          <w:sz w:val="12"/>
          <w:szCs w:val="12"/>
          <w:b w:val="1"/>
          <w:bCs w:val="1"/>
          <w:color w:val="auto"/>
        </w:rPr>
        <w:t>NITIAL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63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Initial Notes</w:t>
      </w:r>
      <w:r>
        <w:rPr>
          <w:rFonts w:ascii="Arial" w:cs="Arial" w:eastAsia="Arial" w:hAnsi="Arial"/>
          <w:sz w:val="18"/>
          <w:szCs w:val="18"/>
          <w:color w:val="auto"/>
        </w:rPr>
        <w:t>. On the Issue Date, there will be originally issued ($300,000,000) aggregate principal amount of Notes,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this Indenture (including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Notes issued pursuant to this </w:t>
      </w:r>
      <w:r>
        <w:rPr>
          <w:rFonts w:ascii="Arial" w:cs="Arial" w:eastAsia="Arial" w:hAnsi="Arial"/>
          <w:sz w:val="18"/>
          <w:szCs w:val="18"/>
          <w:b w:val="1"/>
          <w:bCs w:val="1"/>
          <w:color w:val="auto"/>
        </w:rPr>
        <w:t>Section 2.03(A)</w:t>
      </w:r>
      <w:r>
        <w:rPr>
          <w:rFonts w:ascii="Arial" w:cs="Arial" w:eastAsia="Arial" w:hAnsi="Arial"/>
          <w:sz w:val="18"/>
          <w:szCs w:val="18"/>
          <w:color w:val="auto"/>
        </w:rPr>
        <w:t>, and any Notes issued in exchange therefor or in substitution thereof, are referred to in this Indenture as the “</w:t>
      </w:r>
      <w:r>
        <w:rPr>
          <w:rFonts w:ascii="Arial" w:cs="Arial" w:eastAsia="Arial" w:hAnsi="Arial"/>
          <w:sz w:val="18"/>
          <w:szCs w:val="18"/>
          <w:b w:val="1"/>
          <w:bCs w:val="1"/>
          <w:color w:val="auto"/>
        </w:rPr>
        <w:t>Initial Notes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656"/>
        <w:spacing w:after="0" w:line="294" w:lineRule="auto"/>
        <w:tabs>
          <w:tab w:leader="none" w:pos="159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Additional Notes</w:t>
      </w:r>
      <w:r>
        <w:rPr>
          <w:rFonts w:ascii="Arial" w:cs="Arial" w:eastAsia="Arial" w:hAnsi="Arial"/>
          <w:sz w:val="16"/>
          <w:szCs w:val="16"/>
          <w:color w:val="auto"/>
        </w:rPr>
        <w:t>. The Company may, subject to the provisions of this Indenture (including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2.02</w:t>
      </w:r>
      <w:r>
        <w:rPr>
          <w:rFonts w:ascii="Arial" w:cs="Arial" w:eastAsia="Arial" w:hAnsi="Arial"/>
          <w:sz w:val="16"/>
          <w:szCs w:val="16"/>
          <w:color w:val="auto"/>
        </w:rPr>
        <w:t>), originally issue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Notes with the same terms as the initial Notes (except, to the extent applicable, with respect to the date as of which interest begins to accrue on such additional Notes and the first Interest Payment Date and the Last Original Issue Date of such additional Notes), which additional Notes will, subject to the foregoing, be considered to be part of the same series of, and rank equally and ratably with all other, Notes issued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additional Notes are not fungible with other Notes issued under this Indenture for U.S. federal income tax or U.S. federal securities laws purposes, then such additional Notes will be identified by a separate CUSIP number or by no CUSIP number.</w:t>
      </w:r>
    </w:p>
    <w:p>
      <w:pPr>
        <w:spacing w:after="0" w:line="16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2.04.</w:t>
        <w:tab/>
        <w:t>M</w:t>
      </w:r>
      <w:r>
        <w:rPr>
          <w:rFonts w:ascii="Arial" w:cs="Arial" w:eastAsia="Arial" w:hAnsi="Arial"/>
          <w:sz w:val="12"/>
          <w:szCs w:val="12"/>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9" w:lineRule="auto"/>
        <w:tabs>
          <w:tab w:leader="none" w:pos="163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The Company will pay, or cause the Paying Agent to pay, the principal (whether due upon maturity on the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612"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Physical Notes</w:t>
      </w:r>
      <w:r>
        <w:rPr>
          <w:rFonts w:ascii="Arial" w:cs="Arial" w:eastAsia="Arial" w:hAnsi="Arial"/>
          <w:sz w:val="17"/>
          <w:szCs w:val="17"/>
          <w:color w:val="auto"/>
        </w:rPr>
        <w:t>. The Company will pay, or cause the Paying Agent to pay, the principal (whether due upon maturity on the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397" w:lineRule="exact"/>
        <w:rPr>
          <w:rFonts w:ascii="Arial" w:cs="Arial" w:eastAsia="Arial" w:hAnsi="Arial"/>
          <w:sz w:val="17"/>
          <w:szCs w:val="17"/>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tabs>
          <w:tab w:leader="none" w:pos="1180" w:val="left"/>
        </w:tabs>
        <w:rPr>
          <w:sz w:val="20"/>
          <w:szCs w:val="20"/>
          <w:color w:val="auto"/>
        </w:rPr>
      </w:pPr>
      <w:r>
        <w:rPr>
          <w:rFonts w:ascii="Arial" w:cs="Arial" w:eastAsia="Arial" w:hAnsi="Arial"/>
          <w:sz w:val="18"/>
          <w:szCs w:val="18"/>
          <w:b w:val="1"/>
          <w:bCs w:val="1"/>
          <w:color w:val="auto"/>
        </w:rPr>
        <w:t>Section 2.05.</w:t>
        <w:tab/>
        <w:t>A</w:t>
      </w:r>
      <w:r>
        <w:rPr>
          <w:rFonts w:ascii="Arial" w:cs="Arial" w:eastAsia="Arial" w:hAnsi="Arial"/>
          <w:sz w:val="12"/>
          <w:szCs w:val="12"/>
          <w:b w:val="1"/>
          <w:bCs w:val="1"/>
          <w:color w:val="auto"/>
        </w:rPr>
        <w:t>CCRUAL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 D</w:t>
      </w:r>
      <w:r>
        <w:rPr>
          <w:rFonts w:ascii="Arial" w:cs="Arial" w:eastAsia="Arial" w:hAnsi="Arial"/>
          <w:sz w:val="12"/>
          <w:szCs w:val="12"/>
          <w:b w:val="1"/>
          <w:bCs w:val="1"/>
          <w:color w:val="auto"/>
        </w:rPr>
        <w:t>EFAULTED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MOUNTS</w:t>
      </w:r>
      <w:r>
        <w:rPr>
          <w:rFonts w:ascii="Arial" w:cs="Arial" w:eastAsia="Arial" w:hAnsi="Arial"/>
          <w:sz w:val="18"/>
          <w:szCs w:val="18"/>
          <w:b w:val="1"/>
          <w:bCs w:val="1"/>
          <w:color w:val="auto"/>
        </w:rPr>
        <w:t>; W</w:t>
      </w:r>
      <w:r>
        <w:rPr>
          <w:rFonts w:ascii="Arial" w:cs="Arial" w:eastAsia="Arial" w:hAnsi="Arial"/>
          <w:sz w:val="12"/>
          <w:szCs w:val="12"/>
          <w:b w:val="1"/>
          <w:bCs w:val="1"/>
          <w:color w:val="auto"/>
        </w:rPr>
        <w:t>HEN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 A</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54" w:lineRule="auto"/>
        <w:tabs>
          <w:tab w:leader="none" w:pos="157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Accrual of Interest</w:t>
      </w:r>
      <w:r>
        <w:rPr>
          <w:rFonts w:ascii="Arial" w:cs="Arial" w:eastAsia="Arial" w:hAnsi="Arial"/>
          <w:sz w:val="18"/>
          <w:szCs w:val="18"/>
          <w:color w:val="auto"/>
        </w:rPr>
        <w:t>. Each Note will accrue interest at a rate per annum equal to 0.625% (the “</w:t>
      </w:r>
      <w:r>
        <w:rPr>
          <w:rFonts w:ascii="Arial" w:cs="Arial" w:eastAsia="Arial" w:hAnsi="Arial"/>
          <w:sz w:val="18"/>
          <w:szCs w:val="18"/>
          <w:b w:val="1"/>
          <w:bCs w:val="1"/>
          <w:color w:val="auto"/>
        </w:rPr>
        <w:t>Stated Interest</w:t>
      </w:r>
      <w:r>
        <w:rPr>
          <w:rFonts w:ascii="Arial" w:cs="Arial" w:eastAsia="Arial" w:hAnsi="Arial"/>
          <w:sz w:val="18"/>
          <w:szCs w:val="18"/>
          <w:color w:val="auto"/>
        </w:rPr>
        <w:t>”), plus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and Special Interest that may accrue pursuant to </w:t>
      </w:r>
      <w:r>
        <w:rPr>
          <w:rFonts w:ascii="Arial" w:cs="Arial" w:eastAsia="Arial" w:hAnsi="Arial"/>
          <w:sz w:val="18"/>
          <w:szCs w:val="18"/>
          <w:b w:val="1"/>
          <w:bCs w:val="1"/>
          <w:color w:val="auto"/>
        </w:rPr>
        <w:t>Sections 3.04</w:t>
      </w:r>
      <w:r>
        <w:rPr>
          <w:rFonts w:ascii="Arial" w:cs="Arial" w:eastAsia="Arial" w:hAnsi="Arial"/>
          <w:sz w:val="18"/>
          <w:szCs w:val="18"/>
          <w:color w:val="auto"/>
        </w:rPr>
        <w:t xml:space="preserve"> and </w:t>
      </w:r>
      <w:r>
        <w:rPr>
          <w:rFonts w:ascii="Arial" w:cs="Arial" w:eastAsia="Arial" w:hAnsi="Arial"/>
          <w:sz w:val="18"/>
          <w:szCs w:val="18"/>
          <w:b w:val="1"/>
          <w:bCs w:val="1"/>
          <w:color w:val="auto"/>
        </w:rPr>
        <w:t>7.03</w:t>
      </w:r>
      <w:r>
        <w:rPr>
          <w:rFonts w:ascii="Arial" w:cs="Arial" w:eastAsia="Arial" w:hAnsi="Arial"/>
          <w:sz w:val="18"/>
          <w:szCs w:val="18"/>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Arial" w:cs="Arial" w:eastAsia="Arial" w:hAnsi="Arial"/>
          <w:sz w:val="18"/>
          <w:szCs w:val="18"/>
          <w:b w:val="1"/>
          <w:bCs w:val="1"/>
          <w:color w:val="auto"/>
        </w:rPr>
        <w:t>Sections 4.02(D)</w:t>
      </w:r>
      <w:r>
        <w:rPr>
          <w:rFonts w:ascii="Arial" w:cs="Arial" w:eastAsia="Arial" w:hAnsi="Arial"/>
          <w:sz w:val="18"/>
          <w:szCs w:val="18"/>
          <w:color w:val="auto"/>
        </w:rPr>
        <w:t xml:space="preserve">, </w:t>
      </w:r>
      <w:r>
        <w:rPr>
          <w:rFonts w:ascii="Arial" w:cs="Arial" w:eastAsia="Arial" w:hAnsi="Arial"/>
          <w:sz w:val="18"/>
          <w:szCs w:val="18"/>
          <w:b w:val="1"/>
          <w:bCs w:val="1"/>
          <w:color w:val="auto"/>
        </w:rPr>
        <w:t>4.03(E)</w:t>
      </w:r>
      <w:r>
        <w:rPr>
          <w:rFonts w:ascii="Arial" w:cs="Arial" w:eastAsia="Arial" w:hAnsi="Arial"/>
          <w:sz w:val="18"/>
          <w:szCs w:val="18"/>
          <w:color w:val="auto"/>
        </w:rPr>
        <w:t xml:space="preserve"> and </w:t>
      </w:r>
      <w:r>
        <w:rPr>
          <w:rFonts w:ascii="Arial" w:cs="Arial" w:eastAsia="Arial" w:hAnsi="Arial"/>
          <w:sz w:val="18"/>
          <w:szCs w:val="18"/>
          <w:b w:val="1"/>
          <w:bCs w:val="1"/>
          <w:color w:val="auto"/>
        </w:rPr>
        <w:t>5.02(D)</w:t>
      </w:r>
      <w:r>
        <w:rPr>
          <w:rFonts w:ascii="Arial" w:cs="Arial" w:eastAsia="Arial" w:hAnsi="Arial"/>
          <w:sz w:val="18"/>
          <w:szCs w:val="18"/>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188" w:lineRule="exact"/>
        <w:rPr>
          <w:rFonts w:ascii="Arial" w:cs="Arial" w:eastAsia="Arial" w:hAnsi="Arial"/>
          <w:sz w:val="18"/>
          <w:szCs w:val="18"/>
          <w:color w:val="auto"/>
        </w:rPr>
      </w:pPr>
    </w:p>
    <w:p>
      <w:pPr>
        <w:jc w:val="both"/>
        <w:ind w:firstLine="656"/>
        <w:spacing w:after="0" w:line="271" w:lineRule="auto"/>
        <w:tabs>
          <w:tab w:leader="none" w:pos="1639"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Defaulted Amounts</w:t>
      </w:r>
      <w:r>
        <w:rPr>
          <w:rFonts w:ascii="Arial" w:cs="Arial" w:eastAsia="Arial" w:hAnsi="Arial"/>
          <w:sz w:val="17"/>
          <w:szCs w:val="17"/>
          <w:color w:val="auto"/>
        </w:rPr>
        <w:t>. If the Company fails to pay any amount (a “</w:t>
      </w:r>
      <w:r>
        <w:rPr>
          <w:rFonts w:ascii="Arial" w:cs="Arial" w:eastAsia="Arial" w:hAnsi="Arial"/>
          <w:sz w:val="17"/>
          <w:szCs w:val="17"/>
          <w:b w:val="1"/>
          <w:bCs w:val="1"/>
          <w:color w:val="auto"/>
        </w:rPr>
        <w:t>Defaulted Amount</w:t>
      </w:r>
      <w:r>
        <w:rPr>
          <w:rFonts w:ascii="Arial" w:cs="Arial" w:eastAsia="Arial" w:hAnsi="Arial"/>
          <w:sz w:val="17"/>
          <w:szCs w:val="17"/>
          <w:color w:val="auto"/>
        </w:rPr>
        <w:t>”) payable on a Note on or before the due date</w:t>
      </w:r>
      <w:r>
        <w:rPr>
          <w:rFonts w:ascii="Arial" w:cs="Arial" w:eastAsia="Arial" w:hAnsi="Arial"/>
          <w:sz w:val="17"/>
          <w:szCs w:val="17"/>
          <w:i w:val="1"/>
          <w:iCs w:val="1"/>
          <w:color w:val="auto"/>
        </w:rPr>
        <w:t xml:space="preserve"> </w:t>
      </w:r>
      <w:r>
        <w:rPr>
          <w:rFonts w:ascii="Arial" w:cs="Arial" w:eastAsia="Arial" w:hAnsi="Arial"/>
          <w:sz w:val="17"/>
          <w:szCs w:val="17"/>
          <w:color w:val="auto"/>
        </w:rPr>
        <w:t>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Arial" w:cs="Arial" w:eastAsia="Arial" w:hAnsi="Arial"/>
          <w:sz w:val="17"/>
          <w:szCs w:val="17"/>
          <w:b w:val="1"/>
          <w:bCs w:val="1"/>
          <w:color w:val="auto"/>
        </w:rPr>
        <w:t>Default Interest</w:t>
      </w:r>
      <w:r>
        <w:rPr>
          <w:rFonts w:ascii="Arial" w:cs="Arial" w:eastAsia="Arial" w:hAnsi="Arial"/>
          <w:sz w:val="17"/>
          <w:szCs w:val="17"/>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55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Delay of Payment when Payment Date is Not a Business Day</w:t>
      </w:r>
      <w:r>
        <w:rPr>
          <w:rFonts w:ascii="Arial" w:cs="Arial" w:eastAsia="Arial" w:hAnsi="Arial"/>
          <w:sz w:val="18"/>
          <w:szCs w:val="18"/>
          <w:color w:val="auto"/>
        </w:rPr>
        <w:t>. If the due date for a payment on a Note as provided in this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hanging="111"/>
        <w:spacing w:after="0"/>
        <w:tabs>
          <w:tab w:leader="none" w:pos="5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tabs>
          <w:tab w:leader="none" w:pos="1180" w:val="left"/>
        </w:tabs>
        <w:rPr>
          <w:sz w:val="20"/>
          <w:szCs w:val="20"/>
          <w:color w:val="auto"/>
        </w:rPr>
      </w:pPr>
      <w:r>
        <w:rPr>
          <w:rFonts w:ascii="Arial" w:cs="Arial" w:eastAsia="Arial" w:hAnsi="Arial"/>
          <w:sz w:val="18"/>
          <w:szCs w:val="18"/>
          <w:b w:val="1"/>
          <w:bCs w:val="1"/>
          <w:color w:val="auto"/>
        </w:rPr>
        <w:t>Section 2.06.</w:t>
        <w:tab/>
        <w:t>R</w:t>
      </w:r>
      <w:r>
        <w:rPr>
          <w:rFonts w:ascii="Arial" w:cs="Arial" w:eastAsia="Arial" w:hAnsi="Arial"/>
          <w:sz w:val="12"/>
          <w:szCs w:val="12"/>
          <w:b w:val="1"/>
          <w:bCs w:val="1"/>
          <w:color w:val="auto"/>
        </w:rPr>
        <w:t>EGISTRAR</w:t>
      </w:r>
      <w:r>
        <w:rPr>
          <w:rFonts w:ascii="Arial" w:cs="Arial" w:eastAsia="Arial" w:hAnsi="Arial"/>
          <w:sz w:val="18"/>
          <w:szCs w:val="18"/>
          <w:b w:val="1"/>
          <w:bCs w:val="1"/>
          <w:color w:val="auto"/>
        </w:rPr>
        <w:t>,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2" w:lineRule="auto"/>
        <w:tabs>
          <w:tab w:leader="none" w:pos="165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Company will maintain (i) an office or agency in the continental United States where Notes may be presented for</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of transfer or for exchange (the “</w:t>
      </w:r>
      <w:r>
        <w:rPr>
          <w:rFonts w:ascii="Arial" w:cs="Arial" w:eastAsia="Arial" w:hAnsi="Arial"/>
          <w:sz w:val="17"/>
          <w:szCs w:val="17"/>
          <w:b w:val="1"/>
          <w:bCs w:val="1"/>
          <w:color w:val="auto"/>
        </w:rPr>
        <w:t>Registrar</w:t>
      </w:r>
      <w:r>
        <w:rPr>
          <w:rFonts w:ascii="Arial" w:cs="Arial" w:eastAsia="Arial" w:hAnsi="Arial"/>
          <w:sz w:val="17"/>
          <w:szCs w:val="17"/>
          <w:color w:val="auto"/>
        </w:rPr>
        <w:t>”); (ii) an office or agency in the continental United States where Notes may be presented for payment (the “</w:t>
      </w:r>
      <w:r>
        <w:rPr>
          <w:rFonts w:ascii="Arial" w:cs="Arial" w:eastAsia="Arial" w:hAnsi="Arial"/>
          <w:sz w:val="17"/>
          <w:szCs w:val="17"/>
          <w:b w:val="1"/>
          <w:bCs w:val="1"/>
          <w:color w:val="auto"/>
        </w:rPr>
        <w:t>Paying Agent</w:t>
      </w:r>
      <w:r>
        <w:rPr>
          <w:rFonts w:ascii="Arial" w:cs="Arial" w:eastAsia="Arial" w:hAnsi="Arial"/>
          <w:sz w:val="17"/>
          <w:szCs w:val="17"/>
          <w:color w:val="auto"/>
        </w:rPr>
        <w:t>”); and (iii) an office or agency in the continental United States where Notes may be presented for conversion (the “</w:t>
      </w:r>
      <w:r>
        <w:rPr>
          <w:rFonts w:ascii="Arial" w:cs="Arial" w:eastAsia="Arial" w:hAnsi="Arial"/>
          <w:sz w:val="17"/>
          <w:szCs w:val="17"/>
          <w:b w:val="1"/>
          <w:bCs w:val="1"/>
          <w:color w:val="auto"/>
        </w:rPr>
        <w:t>Conversion Agent</w:t>
      </w:r>
      <w:r>
        <w:rPr>
          <w:rFonts w:ascii="Arial" w:cs="Arial" w:eastAsia="Arial" w:hAnsi="Arial"/>
          <w:sz w:val="17"/>
          <w:szCs w:val="17"/>
          <w:color w:val="auto"/>
        </w:rPr>
        <w:t xml:space="preserve">”). If the Company fails to maintain a Registrar, Paying Agent or Conversion Agent, then the Trustee will act as such. For the avoidance of doubt, the Company or any of its Subsidiaries may act as Registrar, Paying Agent or Conversion Agent without prior notice to Holders. The Company initially names the corporate trust office of the Trustee at U.S. Bank Global Corporate Trust, 333 Commerce Street, Suite 800, Nashville, Tennessee 37201, Attn: Wally Jones as the initial office for purposes of this </w:t>
      </w:r>
      <w:r>
        <w:rPr>
          <w:rFonts w:ascii="Arial" w:cs="Arial" w:eastAsia="Arial" w:hAnsi="Arial"/>
          <w:sz w:val="17"/>
          <w:szCs w:val="17"/>
          <w:b w:val="1"/>
          <w:bCs w:val="1"/>
          <w:color w:val="auto"/>
        </w:rPr>
        <w:t>Section 2.06(A)</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firstLine="656"/>
        <w:spacing w:after="0" w:line="281" w:lineRule="auto"/>
        <w:tabs>
          <w:tab w:leader="none" w:pos="159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Duties of the Registrar</w:t>
      </w:r>
      <w:r>
        <w:rPr>
          <w:rFonts w:ascii="Arial" w:cs="Arial" w:eastAsia="Arial" w:hAnsi="Arial"/>
          <w:sz w:val="17"/>
          <w:szCs w:val="17"/>
          <w:color w:val="auto"/>
        </w:rPr>
        <w:t>. The Registrar will keep a record (the “</w:t>
      </w:r>
      <w:r>
        <w:rPr>
          <w:rFonts w:ascii="Arial" w:cs="Arial" w:eastAsia="Arial" w:hAnsi="Arial"/>
          <w:sz w:val="17"/>
          <w:szCs w:val="17"/>
          <w:b w:val="1"/>
          <w:bCs w:val="1"/>
          <w:color w:val="auto"/>
        </w:rPr>
        <w:t>Register</w:t>
      </w:r>
      <w:r>
        <w:rPr>
          <w:rFonts w:ascii="Arial" w:cs="Arial" w:eastAsia="Arial" w:hAnsi="Arial"/>
          <w:sz w:val="17"/>
          <w:szCs w:val="17"/>
          <w:color w:val="auto"/>
        </w:rPr>
        <w:t>”) of the names and addresses of the Holders, the Notes held</w:t>
      </w:r>
      <w:r>
        <w:rPr>
          <w:rFonts w:ascii="Arial" w:cs="Arial" w:eastAsia="Arial" w:hAnsi="Arial"/>
          <w:sz w:val="17"/>
          <w:szCs w:val="17"/>
          <w:i w:val="1"/>
          <w:iCs w:val="1"/>
          <w:color w:val="auto"/>
        </w:rPr>
        <w:t xml:space="preserve"> </w:t>
      </w:r>
      <w:r>
        <w:rPr>
          <w:rFonts w:ascii="Arial" w:cs="Arial" w:eastAsia="Arial" w:hAnsi="Arial"/>
          <w:sz w:val="17"/>
          <w:szCs w:val="17"/>
          <w:color w:val="auto"/>
        </w:rPr>
        <w:t>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68" w:lineRule="exact"/>
        <w:rPr>
          <w:rFonts w:ascii="Arial" w:cs="Arial" w:eastAsia="Arial" w:hAnsi="Arial"/>
          <w:sz w:val="17"/>
          <w:szCs w:val="17"/>
          <w:color w:val="auto"/>
        </w:rPr>
      </w:pPr>
    </w:p>
    <w:p>
      <w:pPr>
        <w:jc w:val="both"/>
        <w:ind w:firstLine="656"/>
        <w:spacing w:after="0" w:line="293" w:lineRule="auto"/>
        <w:tabs>
          <w:tab w:leader="none" w:pos="1531"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Co-Agents; Company’s Right to Appoint Successor Registrars, Paying Agents and Conversion Agents</w:t>
      </w:r>
      <w:r>
        <w:rPr>
          <w:rFonts w:ascii="Arial" w:cs="Arial" w:eastAsia="Arial" w:hAnsi="Arial"/>
          <w:sz w:val="16"/>
          <w:szCs w:val="16"/>
          <w:color w:val="auto"/>
        </w:rPr>
        <w:t>. The Company may appoint 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more co-Registrars, co-Paying Agents and co-Conversion Agents, each of whom will be deemed to be a Registrar, Paying Agent or Conversion Agent, as applicable, under this Indenture. Subject to </w:t>
      </w:r>
      <w:r>
        <w:rPr>
          <w:rFonts w:ascii="Arial" w:cs="Arial" w:eastAsia="Arial" w:hAnsi="Arial"/>
          <w:sz w:val="16"/>
          <w:szCs w:val="16"/>
          <w:b w:val="1"/>
          <w:bCs w:val="1"/>
          <w:color w:val="auto"/>
        </w:rPr>
        <w:t>Section 2.06(A)</w:t>
      </w:r>
      <w:r>
        <w:rPr>
          <w:rFonts w:ascii="Arial" w:cs="Arial" w:eastAsia="Arial" w:hAnsi="Arial"/>
          <w:sz w:val="16"/>
          <w:szCs w:val="16"/>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64" w:lineRule="exact"/>
        <w:rPr>
          <w:rFonts w:ascii="Arial" w:cs="Arial" w:eastAsia="Arial" w:hAnsi="Arial"/>
          <w:sz w:val="16"/>
          <w:szCs w:val="16"/>
          <w:color w:val="auto"/>
        </w:rPr>
      </w:pPr>
    </w:p>
    <w:p>
      <w:pPr>
        <w:ind w:left="1620" w:hanging="964"/>
        <w:spacing w:after="0"/>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Initial Appointments</w:t>
      </w:r>
      <w:r>
        <w:rPr>
          <w:rFonts w:ascii="Arial" w:cs="Arial" w:eastAsia="Arial" w:hAnsi="Arial"/>
          <w:sz w:val="16"/>
          <w:szCs w:val="16"/>
          <w:color w:val="auto"/>
        </w:rPr>
        <w:t>. The Company appoints the Trustee as the initial Paying Agent, the initial Registrar and the initial Conversion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2.07.</w:t>
        <w:tab/>
        <w:t>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TO</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 IN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in </w:t>
      </w:r>
      <w:r>
        <w:rPr>
          <w:rFonts w:ascii="Arial" w:cs="Arial" w:eastAsia="Arial" w:hAnsi="Arial"/>
          <w:sz w:val="16"/>
          <w:szCs w:val="16"/>
          <w:b w:val="1"/>
          <w:bCs w:val="1"/>
          <w:color w:val="auto"/>
        </w:rPr>
        <w:t>clause (ix)</w:t>
      </w:r>
      <w:r>
        <w:rPr>
          <w:rFonts w:ascii="Arial" w:cs="Arial" w:eastAsia="Arial" w:hAnsi="Arial"/>
          <w:sz w:val="16"/>
          <w:szCs w:val="16"/>
          <w:color w:val="auto"/>
        </w:rPr>
        <w:t xml:space="preserve"> or </w:t>
      </w:r>
      <w:r>
        <w:rPr>
          <w:rFonts w:ascii="Arial" w:cs="Arial" w:eastAsia="Arial" w:hAnsi="Arial"/>
          <w:sz w:val="16"/>
          <w:szCs w:val="16"/>
          <w:b w:val="1"/>
          <w:bCs w:val="1"/>
          <w:color w:val="auto"/>
        </w:rPr>
        <w:t>(x)</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7.01(A)</w:t>
      </w:r>
      <w:r>
        <w:rPr>
          <w:rFonts w:ascii="Arial" w:cs="Arial" w:eastAsia="Arial" w:hAnsi="Arial"/>
          <w:sz w:val="16"/>
          <w:szCs w:val="16"/>
          <w:color w:val="auto"/>
        </w:rPr>
        <w:t xml:space="preserve"> with respect to the Company (or with respect to any Subsidiary of the Company acting as Paying Agent or Conversion Agent), the Trustee will serve as the Paying Agent and Conversion Agent, as applicable, for the Notes.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spacing w:after="0"/>
        <w:tabs>
          <w:tab w:leader="none" w:pos="1180" w:val="left"/>
        </w:tabs>
        <w:rPr>
          <w:sz w:val="20"/>
          <w:szCs w:val="20"/>
          <w:color w:val="auto"/>
        </w:rPr>
      </w:pPr>
      <w:r>
        <w:rPr>
          <w:rFonts w:ascii="Arial" w:cs="Arial" w:eastAsia="Arial" w:hAnsi="Arial"/>
          <w:sz w:val="18"/>
          <w:szCs w:val="18"/>
          <w:b w:val="1"/>
          <w:bCs w:val="1"/>
          <w:color w:val="auto"/>
        </w:rPr>
        <w:t>Section 2.08.</w:t>
        <w:tab/>
        <w:t>H</w:t>
      </w:r>
      <w:r>
        <w:rPr>
          <w:rFonts w:ascii="Arial" w:cs="Arial" w:eastAsia="Arial" w:hAnsi="Arial"/>
          <w:sz w:val="12"/>
          <w:szCs w:val="12"/>
          <w:b w:val="1"/>
          <w:bCs w:val="1"/>
          <w:color w:val="auto"/>
        </w:rPr>
        <w:t>OLDER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ISTS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is not the Registrar,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7"/>
          <w:szCs w:val="17"/>
          <w:b w:val="1"/>
          <w:bCs w:val="1"/>
          <w:color w:val="auto"/>
        </w:rPr>
        <w:t>L</w:t>
      </w:r>
      <w:r>
        <w:rPr>
          <w:rFonts w:ascii="Arial" w:cs="Arial" w:eastAsia="Arial" w:hAnsi="Arial"/>
          <w:sz w:val="11"/>
          <w:szCs w:val="11"/>
          <w:b w:val="1"/>
          <w:bCs w:val="1"/>
          <w:color w:val="auto"/>
        </w:rPr>
        <w:t>EGENDS</w:t>
      </w:r>
      <w:r>
        <w:rPr>
          <w:rFonts w:ascii="Arial" w:cs="Arial" w:eastAsia="Arial" w:hAnsi="Arial"/>
          <w:sz w:val="17"/>
          <w:szCs w:val="17"/>
          <w:b w:val="1"/>
          <w:bCs w:val="1"/>
          <w:color w:val="auto"/>
        </w:rPr>
        <w:t>.</w:t>
      </w:r>
    </w:p>
    <w:p>
      <w:pPr>
        <w:spacing w:after="0" w:line="229" w:lineRule="exact"/>
        <w:rPr>
          <w:sz w:val="20"/>
          <w:szCs w:val="20"/>
          <w:color w:val="auto"/>
        </w:rPr>
      </w:pPr>
    </w:p>
    <w:p>
      <w:pPr>
        <w:ind w:firstLine="656"/>
        <w:spacing w:after="0" w:line="277" w:lineRule="auto"/>
        <w:tabs>
          <w:tab w:leader="none" w:pos="153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the Global Note Legend (or any similar legend, not inconsistent with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the Depositary for such Global Note).</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Non-Affiliate Legend</w:t>
      </w:r>
      <w:r>
        <w:rPr>
          <w:rFonts w:ascii="Arial" w:cs="Arial" w:eastAsia="Arial" w:hAnsi="Arial"/>
          <w:sz w:val="18"/>
          <w:szCs w:val="18"/>
          <w:color w:val="auto"/>
        </w:rPr>
        <w:t>. Each Note will bear the Non-Affiliate Legend.</w:t>
      </w:r>
    </w:p>
    <w:p>
      <w:pPr>
        <w:spacing w:after="0" w:line="221" w:lineRule="exact"/>
        <w:rPr>
          <w:rFonts w:ascii="Arial" w:cs="Arial" w:eastAsia="Arial" w:hAnsi="Arial"/>
          <w:sz w:val="18"/>
          <w:szCs w:val="18"/>
          <w:color w:val="auto"/>
        </w:rPr>
      </w:pPr>
    </w:p>
    <w:p>
      <w:pPr>
        <w:ind w:left="1520" w:hanging="864"/>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Restricted Note Legend</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2.12</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140" w:hanging="836"/>
        <w:spacing w:after="0"/>
        <w:tabs>
          <w:tab w:leader="none" w:pos="2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Note that is a Transfer-Restricted Security will bear the Restricted Note Legend; and</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21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if a Note is issued in exchange for, in substitution of, or to effect a partial conversion of, another Note (such other Note being referred to as the “old Note” for purposes of this </w:t>
      </w:r>
      <w:r>
        <w:rPr>
          <w:rFonts w:ascii="Arial" w:cs="Arial" w:eastAsia="Arial" w:hAnsi="Arial"/>
          <w:sz w:val="18"/>
          <w:szCs w:val="18"/>
          <w:b w:val="1"/>
          <w:bCs w:val="1"/>
          <w:color w:val="auto"/>
        </w:rPr>
        <w:t>Section 2.09(C)(ii)</w:t>
      </w:r>
      <w:r>
        <w:rPr>
          <w:rFonts w:ascii="Arial" w:cs="Arial" w:eastAsia="Arial" w:hAnsi="Arial"/>
          <w:sz w:val="18"/>
          <w:szCs w:val="18"/>
          <w:color w:val="auto"/>
        </w:rPr>
        <w:t xml:space="preserve">), including pursuant to Section </w:t>
      </w:r>
      <w:r>
        <w:rPr>
          <w:rFonts w:ascii="Arial" w:cs="Arial" w:eastAsia="Arial" w:hAnsi="Arial"/>
          <w:sz w:val="18"/>
          <w:szCs w:val="18"/>
          <w:b w:val="1"/>
          <w:bCs w:val="1"/>
          <w:color w:val="auto"/>
        </w:rPr>
        <w:t>2.10(B)</w:t>
      </w:r>
      <w:r>
        <w:rPr>
          <w:rFonts w:ascii="Arial" w:cs="Arial" w:eastAsia="Arial" w:hAnsi="Arial"/>
          <w:sz w:val="18"/>
          <w:szCs w:val="18"/>
          <w:color w:val="auto"/>
        </w:rPr>
        <w:t xml:space="preserve">, </w:t>
      </w:r>
      <w:r>
        <w:rPr>
          <w:rFonts w:ascii="Arial" w:cs="Arial" w:eastAsia="Arial" w:hAnsi="Arial"/>
          <w:sz w:val="18"/>
          <w:szCs w:val="18"/>
          <w:b w:val="1"/>
          <w:bCs w:val="1"/>
          <w:color w:val="auto"/>
        </w:rPr>
        <w:t>2.10(C)</w:t>
      </w:r>
      <w:r>
        <w:rPr>
          <w:rFonts w:ascii="Arial" w:cs="Arial" w:eastAsia="Arial" w:hAnsi="Arial"/>
          <w:sz w:val="18"/>
          <w:szCs w:val="18"/>
          <w:color w:val="auto"/>
        </w:rPr>
        <w:t xml:space="preserve">, </w:t>
      </w:r>
      <w:r>
        <w:rPr>
          <w:rFonts w:ascii="Arial" w:cs="Arial" w:eastAsia="Arial" w:hAnsi="Arial"/>
          <w:sz w:val="18"/>
          <w:szCs w:val="18"/>
          <w:b w:val="1"/>
          <w:bCs w:val="1"/>
          <w:color w:val="auto"/>
        </w:rPr>
        <w:t>2.11</w:t>
      </w:r>
      <w:r>
        <w:rPr>
          <w:rFonts w:ascii="Arial" w:cs="Arial" w:eastAsia="Arial" w:hAnsi="Arial"/>
          <w:sz w:val="18"/>
          <w:szCs w:val="18"/>
          <w:color w:val="auto"/>
        </w:rPr>
        <w:t xml:space="preserve"> or </w:t>
      </w:r>
      <w:r>
        <w:rPr>
          <w:rFonts w:ascii="Arial" w:cs="Arial" w:eastAsia="Arial" w:hAnsi="Arial"/>
          <w:sz w:val="18"/>
          <w:szCs w:val="18"/>
          <w:b w:val="1"/>
          <w:bCs w:val="1"/>
          <w:color w:val="auto"/>
        </w:rPr>
        <w:t>2.13</w:t>
      </w:r>
      <w:r>
        <w:rPr>
          <w:rFonts w:ascii="Arial" w:cs="Arial" w:eastAsia="Arial" w:hAnsi="Arial"/>
          <w:sz w:val="18"/>
          <w:szCs w:val="18"/>
          <w:color w:val="auto"/>
        </w:rPr>
        <w:t xml:space="preserve">, such Note will bear the Restricted Note Legend if such old Note bore the Restricted Note Legend at the time of such exchange or substitution, or on the related Conversion Date with respect to such conversion,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92" w:lineRule="exact"/>
        <w:rPr>
          <w:rFonts w:ascii="Arial" w:cs="Arial" w:eastAsia="Arial" w:hAnsi="Arial"/>
          <w:sz w:val="18"/>
          <w:szCs w:val="18"/>
          <w:color w:val="auto"/>
        </w:rPr>
      </w:pPr>
    </w:p>
    <w:p>
      <w:pPr>
        <w:ind w:firstLine="656"/>
        <w:spacing w:after="0" w:line="277" w:lineRule="auto"/>
        <w:tabs>
          <w:tab w:leader="none" w:pos="148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Other Legends</w:t>
      </w:r>
      <w:r>
        <w:rPr>
          <w:rFonts w:ascii="Arial" w:cs="Arial" w:eastAsia="Arial" w:hAnsi="Arial"/>
          <w:sz w:val="18"/>
          <w:szCs w:val="18"/>
          <w:color w:val="auto"/>
        </w:rPr>
        <w:t>. A Note may bear any other legend or text, not inconsistent with this Indenture, as may be required by applicable law or</w:t>
      </w:r>
      <w:r>
        <w:rPr>
          <w:rFonts w:ascii="Arial" w:cs="Arial" w:eastAsia="Arial" w:hAnsi="Arial"/>
          <w:sz w:val="18"/>
          <w:szCs w:val="18"/>
          <w:i w:val="1"/>
          <w:iCs w:val="1"/>
          <w:color w:val="auto"/>
        </w:rPr>
        <w:t xml:space="preserve"> </w:t>
      </w:r>
      <w:r>
        <w:rPr>
          <w:rFonts w:ascii="Arial" w:cs="Arial" w:eastAsia="Arial" w:hAnsi="Arial"/>
          <w:sz w:val="18"/>
          <w:szCs w:val="18"/>
          <w:color w:val="auto"/>
        </w:rPr>
        <w:t>by any securities exchange or automated quotation system on which such Note is traded or quoted.</w:t>
      </w:r>
    </w:p>
    <w:p>
      <w:pPr>
        <w:spacing w:after="0" w:line="166" w:lineRule="exact"/>
        <w:rPr>
          <w:rFonts w:ascii="Arial" w:cs="Arial" w:eastAsia="Arial" w:hAnsi="Arial"/>
          <w:sz w:val="18"/>
          <w:szCs w:val="18"/>
          <w:color w:val="auto"/>
        </w:rPr>
      </w:pPr>
    </w:p>
    <w:p>
      <w:pPr>
        <w:ind w:firstLine="656"/>
        <w:spacing w:after="0" w:line="282" w:lineRule="auto"/>
        <w:tabs>
          <w:tab w:leader="none" w:pos="150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Acknowledgement and Agreement by the Holders</w:t>
      </w:r>
      <w:r>
        <w:rPr>
          <w:rFonts w:ascii="Arial" w:cs="Arial" w:eastAsia="Arial" w:hAnsi="Arial"/>
          <w:sz w:val="18"/>
          <w:szCs w:val="18"/>
          <w:color w:val="auto"/>
        </w:rPr>
        <w:t>. A Holder’s acceptance of any Note bearing any legend required by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2.09</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such Holder’s acknowledgement of, and agreement to comply with, the restrictions set forth in such legend.</w:t>
      </w:r>
    </w:p>
    <w:p>
      <w:pPr>
        <w:spacing w:after="0" w:line="165" w:lineRule="exact"/>
        <w:rPr>
          <w:rFonts w:ascii="Arial" w:cs="Arial" w:eastAsia="Arial" w:hAnsi="Arial"/>
          <w:sz w:val="18"/>
          <w:szCs w:val="18"/>
          <w:color w:val="auto"/>
        </w:rPr>
      </w:pPr>
    </w:p>
    <w:p>
      <w:pPr>
        <w:ind w:left="1500" w:hanging="844"/>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Restricted Stock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328"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Conversion Share need not bear the Restricted Stock Legend if the Company determines, in its reasonable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Conversion Share need not bear the Restricted Stock Legend.</w:t>
      </w:r>
    </w:p>
    <w:p>
      <w:pPr>
        <w:spacing w:after="0" w:line="182" w:lineRule="exact"/>
        <w:rPr>
          <w:rFonts w:ascii="Arial" w:cs="Arial" w:eastAsia="Arial" w:hAnsi="Arial"/>
          <w:sz w:val="18"/>
          <w:szCs w:val="18"/>
          <w:color w:val="auto"/>
        </w:rPr>
      </w:pPr>
    </w:p>
    <w:p>
      <w:pPr>
        <w:jc w:val="both"/>
        <w:ind w:left="660" w:firstLine="644"/>
        <w:spacing w:after="0" w:line="261" w:lineRule="auto"/>
        <w:tabs>
          <w:tab w:leader="none" w:pos="2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Section 2.09(F)</w:t>
      </w:r>
      <w:r>
        <w:rPr>
          <w:rFonts w:ascii="Arial" w:cs="Arial" w:eastAsia="Arial" w:hAnsi="Arial"/>
          <w:sz w:val="18"/>
          <w:szCs w:val="18"/>
          <w:color w:val="auto"/>
        </w:rPr>
        <w:t xml:space="preserve">, a Conversion Share need not bear a Restricted Stock Legend if such Conversion Share is issued in an uncertificated form that does not permit affixing legends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tabs>
          <w:tab w:leader="none" w:pos="1180" w:val="left"/>
        </w:tabs>
        <w:rPr>
          <w:sz w:val="20"/>
          <w:szCs w:val="20"/>
          <w:color w:val="auto"/>
        </w:rPr>
      </w:pPr>
      <w:r>
        <w:rPr>
          <w:rFonts w:ascii="Arial" w:cs="Arial" w:eastAsia="Arial" w:hAnsi="Arial"/>
          <w:sz w:val="18"/>
          <w:szCs w:val="18"/>
          <w:b w:val="1"/>
          <w:bCs w:val="1"/>
          <w:color w:val="auto"/>
        </w:rPr>
        <w:t>Section 2.10.</w:t>
        <w:tab/>
        <w:t>T</w:t>
      </w:r>
      <w:r>
        <w:rPr>
          <w:rFonts w:ascii="Arial" w:cs="Arial" w:eastAsia="Arial" w:hAnsi="Arial"/>
          <w:sz w:val="12"/>
          <w:szCs w:val="12"/>
          <w:b w:val="1"/>
          <w:bCs w:val="1"/>
          <w:color w:val="auto"/>
        </w:rPr>
        <w:t>RANSFERS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XCHANGES</w:t>
      </w:r>
      <w:r>
        <w:rPr>
          <w:rFonts w:ascii="Arial" w:cs="Arial" w:eastAsia="Arial" w:hAnsi="Arial"/>
          <w:sz w:val="18"/>
          <w:szCs w:val="18"/>
          <w:b w:val="1"/>
          <w:bCs w:val="1"/>
          <w:color w:val="auto"/>
        </w:rPr>
        <w:t>; 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Provisions Applicable to All Transfers and Exchanges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firstLine="644"/>
        <w:spacing w:after="0" w:line="282" w:lineRule="auto"/>
        <w:tabs>
          <w:tab w:leader="none" w:pos="2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Section 2.10</w:t>
      </w:r>
      <w:r>
        <w:rPr>
          <w:rFonts w:ascii="Arial" w:cs="Arial" w:eastAsia="Arial" w:hAnsi="Arial"/>
          <w:sz w:val="18"/>
          <w:szCs w:val="18"/>
          <w:color w:val="auto"/>
        </w:rPr>
        <w:t>, Physical Notes and beneficial interests in Global Notes may be transferred or exchanged from time to time and the Registrar will record each such transfer or exchange in the Register.</w:t>
      </w:r>
    </w:p>
    <w:p>
      <w:pPr>
        <w:spacing w:after="0" w:line="165" w:lineRule="exact"/>
        <w:rPr>
          <w:rFonts w:ascii="Arial" w:cs="Arial" w:eastAsia="Arial" w:hAnsi="Arial"/>
          <w:sz w:val="18"/>
          <w:szCs w:val="18"/>
          <w:color w:val="auto"/>
        </w:rPr>
      </w:pPr>
    </w:p>
    <w:p>
      <w:pPr>
        <w:jc w:val="both"/>
        <w:ind w:left="660" w:firstLine="644"/>
        <w:spacing w:after="0" w:line="286" w:lineRule="auto"/>
        <w:tabs>
          <w:tab w:leader="none" w:pos="2387"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Each Note issued upon transfer or exchange of any other Note (such other Note being referred to as the “old Note” for purposes of this </w:t>
      </w:r>
      <w:r>
        <w:rPr>
          <w:rFonts w:ascii="Arial" w:cs="Arial" w:eastAsia="Arial" w:hAnsi="Arial"/>
          <w:sz w:val="17"/>
          <w:szCs w:val="17"/>
          <w:b w:val="1"/>
          <w:bCs w:val="1"/>
          <w:color w:val="auto"/>
        </w:rPr>
        <w:t>Section 2.10(A)(ii)</w:t>
      </w:r>
      <w:r>
        <w:rPr>
          <w:rFonts w:ascii="Arial" w:cs="Arial" w:eastAsia="Arial" w:hAnsi="Arial"/>
          <w:sz w:val="17"/>
          <w:szCs w:val="17"/>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65" w:lineRule="exact"/>
        <w:rPr>
          <w:rFonts w:ascii="Arial" w:cs="Arial" w:eastAsia="Arial" w:hAnsi="Arial"/>
          <w:sz w:val="17"/>
          <w:szCs w:val="17"/>
          <w:color w:val="auto"/>
        </w:rPr>
      </w:pPr>
    </w:p>
    <w:p>
      <w:pPr>
        <w:jc w:val="both"/>
        <w:ind w:left="660" w:firstLine="644"/>
        <w:spacing w:after="0" w:line="273" w:lineRule="auto"/>
        <w:tabs>
          <w:tab w:leader="none" w:pos="2334"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The Company, the Trustee and the Note Agents will not impose any service charge on any Holder for any exchange or registration of transfer of Notes as a result of the name of the Holder of new Notes issued upon such exchange or registration of transfer being different from the name of the Holder of the old Notes surrendered for exchange or registration of transfer, or in connection with any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Arial" w:cs="Arial" w:eastAsia="Arial" w:hAnsi="Arial"/>
          <w:sz w:val="17"/>
          <w:szCs w:val="17"/>
          <w:b w:val="1"/>
          <w:bCs w:val="1"/>
          <w:color w:val="auto"/>
        </w:rPr>
        <w:t>Sections 2.11</w:t>
      </w:r>
      <w:r>
        <w:rPr>
          <w:rFonts w:ascii="Arial" w:cs="Arial" w:eastAsia="Arial" w:hAnsi="Arial"/>
          <w:sz w:val="17"/>
          <w:szCs w:val="17"/>
          <w:color w:val="auto"/>
        </w:rPr>
        <w:t xml:space="preserve">, </w:t>
      </w:r>
      <w:r>
        <w:rPr>
          <w:rFonts w:ascii="Arial" w:cs="Arial" w:eastAsia="Arial" w:hAnsi="Arial"/>
          <w:sz w:val="17"/>
          <w:szCs w:val="17"/>
          <w:b w:val="1"/>
          <w:bCs w:val="1"/>
          <w:color w:val="auto"/>
        </w:rPr>
        <w:t>2.17</w:t>
      </w:r>
      <w:r>
        <w:rPr>
          <w:rFonts w:ascii="Arial" w:cs="Arial" w:eastAsia="Arial" w:hAnsi="Arial"/>
          <w:sz w:val="17"/>
          <w:szCs w:val="17"/>
          <w:color w:val="auto"/>
        </w:rPr>
        <w:t xml:space="preserve"> or </w:t>
      </w:r>
      <w:r>
        <w:rPr>
          <w:rFonts w:ascii="Arial" w:cs="Arial" w:eastAsia="Arial" w:hAnsi="Arial"/>
          <w:sz w:val="17"/>
          <w:szCs w:val="17"/>
          <w:b w:val="1"/>
          <w:bCs w:val="1"/>
          <w:color w:val="auto"/>
        </w:rPr>
        <w:t>8.05</w:t>
      </w:r>
      <w:r>
        <w:rPr>
          <w:rFonts w:ascii="Arial" w:cs="Arial" w:eastAsia="Arial" w:hAnsi="Arial"/>
          <w:sz w:val="17"/>
          <w:szCs w:val="17"/>
          <w:color w:val="auto"/>
        </w:rPr>
        <w:t xml:space="preserve"> not involving any transfer.</w:t>
      </w:r>
    </w:p>
    <w:p>
      <w:pPr>
        <w:spacing w:after="0" w:line="177" w:lineRule="exact"/>
        <w:rPr>
          <w:rFonts w:ascii="Arial" w:cs="Arial" w:eastAsia="Arial" w:hAnsi="Arial"/>
          <w:sz w:val="17"/>
          <w:szCs w:val="17"/>
          <w:color w:val="auto"/>
        </w:rPr>
      </w:pPr>
    </w:p>
    <w:p>
      <w:pPr>
        <w:ind w:left="660" w:firstLine="644"/>
        <w:spacing w:after="0" w:line="277" w:lineRule="auto"/>
        <w:tabs>
          <w:tab w:leader="none" w:pos="2233"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the Notes, a Note may not be transferred or exchanged in part unless the portion to be so transferred or exchanged is in an Authorized Denomination.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227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40" w:hanging="111"/>
        <w:spacing w:after="0"/>
        <w:tabs>
          <w:tab w:leader="none" w:pos="55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404" w:hanging="756"/>
        <w:spacing w:after="0"/>
        <w:tabs>
          <w:tab w:leader="none" w:pos="1404"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Each Note issued upon transfer of, or in exchange for, another Note will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jc w:val="both"/>
        <w:ind w:left="4" w:firstLine="644"/>
        <w:spacing w:after="0" w:line="263" w:lineRule="auto"/>
        <w:tabs>
          <w:tab w:leader="none" w:pos="14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spacing w:after="0" w:line="179" w:lineRule="exact"/>
        <w:rPr>
          <w:rFonts w:ascii="Arial" w:cs="Arial" w:eastAsia="Arial" w:hAnsi="Arial"/>
          <w:sz w:val="18"/>
          <w:szCs w:val="18"/>
          <w:color w:val="auto"/>
        </w:rPr>
      </w:pPr>
    </w:p>
    <w:p>
      <w:pPr>
        <w:jc w:val="both"/>
        <w:ind w:left="4" w:firstLine="644"/>
        <w:spacing w:after="0" w:line="281" w:lineRule="auto"/>
        <w:tabs>
          <w:tab w:leader="none" w:pos="1412"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For the avoidance of doubt, and subject to the terms of this Indenture, as used in this </w:t>
      </w:r>
      <w:r>
        <w:rPr>
          <w:rFonts w:ascii="Arial" w:cs="Arial" w:eastAsia="Arial" w:hAnsi="Arial"/>
          <w:sz w:val="17"/>
          <w:szCs w:val="17"/>
          <w:b w:val="1"/>
          <w:bCs w:val="1"/>
          <w:color w:val="auto"/>
        </w:rPr>
        <w:t>Section 2.10</w:t>
      </w:r>
      <w:r>
        <w:rPr>
          <w:rFonts w:ascii="Arial" w:cs="Arial" w:eastAsia="Arial" w:hAnsi="Arial"/>
          <w:sz w:val="17"/>
          <w:szCs w:val="17"/>
          <w:color w:val="auto"/>
        </w:rPr>
        <w:t>, an “exchange” of a Global Note or a Physical Note includes (x) an exchange effected for the sole purpose of removing any Restricted Note Legend affixed to such Global Note or Physical Note; and (y) if such Global Note or a Physical Note is identified by a “restricted” CUSIP number, an exchange effected for the sole purpose of causing such Global Note or a Physical Note to be identified by an “unrestricted” CUSIP number.</w:t>
      </w:r>
    </w:p>
    <w:p>
      <w:pPr>
        <w:spacing w:after="0" w:line="168" w:lineRule="exact"/>
        <w:rPr>
          <w:rFonts w:ascii="Arial" w:cs="Arial" w:eastAsia="Arial" w:hAnsi="Arial"/>
          <w:sz w:val="17"/>
          <w:szCs w:val="17"/>
          <w:color w:val="auto"/>
        </w:rPr>
      </w:pPr>
    </w:p>
    <w:p>
      <w:pPr>
        <w:ind w:left="1604" w:hanging="956"/>
        <w:spacing w:after="0"/>
        <w:tabs>
          <w:tab w:leader="none" w:pos="1604" w:val="left"/>
        </w:tabs>
        <w:numPr>
          <w:ilvl w:val="1"/>
          <w:numId w:val="19"/>
        </w:numPr>
        <w:rPr>
          <w:rFonts w:ascii="Arial" w:cs="Arial" w:eastAsia="Arial" w:hAnsi="Arial"/>
          <w:sz w:val="16"/>
          <w:szCs w:val="16"/>
          <w:color w:val="auto"/>
        </w:rPr>
      </w:pPr>
      <w:r>
        <w:rPr>
          <w:rFonts w:ascii="Arial" w:cs="Arial" w:eastAsia="Arial" w:hAnsi="Arial"/>
          <w:sz w:val="16"/>
          <w:szCs w:val="16"/>
          <w:color w:val="auto"/>
        </w:rPr>
        <w:t>Neither the Company, the Trustee nor any Note Agent will have any responsibility for any action taken or not taken by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Depositary.</w:t>
      </w:r>
    </w:p>
    <w:p>
      <w:pPr>
        <w:spacing w:after="0" w:line="210" w:lineRule="exact"/>
        <w:rPr>
          <w:rFonts w:ascii="Arial" w:cs="Arial" w:eastAsia="Arial" w:hAnsi="Arial"/>
          <w:sz w:val="16"/>
          <w:szCs w:val="16"/>
          <w:color w:val="auto"/>
        </w:rPr>
      </w:pPr>
    </w:p>
    <w:p>
      <w:pPr>
        <w:ind w:left="864" w:hanging="864"/>
        <w:spacing w:after="0"/>
        <w:tabs>
          <w:tab w:leader="none" w:pos="86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Transfers and Exchanges of Global Notes.</w:t>
      </w:r>
    </w:p>
    <w:p>
      <w:pPr>
        <w:spacing w:after="0" w:line="225" w:lineRule="exact"/>
        <w:rPr>
          <w:rFonts w:ascii="Arial" w:cs="Arial" w:eastAsia="Arial" w:hAnsi="Arial"/>
          <w:sz w:val="18"/>
          <w:szCs w:val="18"/>
          <w:color w:val="auto"/>
        </w:rPr>
      </w:pPr>
    </w:p>
    <w:p>
      <w:pPr>
        <w:jc w:val="both"/>
        <w:ind w:left="4" w:firstLine="644"/>
        <w:spacing w:after="0" w:line="257" w:lineRule="auto"/>
        <w:tabs>
          <w:tab w:leader="none" w:pos="1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Global Note will be exchanged, pursuant to customary procedures, for one or more Physical Notes if:</w:t>
      </w:r>
    </w:p>
    <w:p>
      <w:pPr>
        <w:spacing w:after="0" w:line="187" w:lineRule="exact"/>
        <w:rPr>
          <w:rFonts w:ascii="Arial" w:cs="Arial" w:eastAsia="Arial" w:hAnsi="Arial"/>
          <w:sz w:val="18"/>
          <w:szCs w:val="18"/>
          <w:color w:val="auto"/>
        </w:rPr>
      </w:pPr>
    </w:p>
    <w:p>
      <w:pPr>
        <w:jc w:val="both"/>
        <w:ind w:left="644" w:firstLine="652"/>
        <w:spacing w:after="0" w:line="311" w:lineRule="auto"/>
        <w:tabs>
          <w:tab w:leader="none" w:pos="2307" w:val="left"/>
        </w:tabs>
        <w:numPr>
          <w:ilvl w:val="2"/>
          <w:numId w:val="20"/>
        </w:numPr>
        <w:rPr>
          <w:rFonts w:ascii="Arial" w:cs="Arial" w:eastAsia="Arial" w:hAnsi="Arial"/>
          <w:sz w:val="16"/>
          <w:szCs w:val="16"/>
          <w:color w:val="auto"/>
        </w:rPr>
      </w:pPr>
      <w:r>
        <w:rPr>
          <w:rFonts w:ascii="Arial" w:cs="Arial" w:eastAsia="Arial" w:hAnsi="Arial"/>
          <w:sz w:val="16"/>
          <w:szCs w:val="16"/>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48" w:lineRule="exact"/>
        <w:rPr>
          <w:rFonts w:ascii="Arial" w:cs="Arial" w:eastAsia="Arial" w:hAnsi="Arial"/>
          <w:sz w:val="16"/>
          <w:szCs w:val="16"/>
          <w:color w:val="auto"/>
        </w:rPr>
      </w:pPr>
    </w:p>
    <w:p>
      <w:pPr>
        <w:jc w:val="both"/>
        <w:ind w:left="644" w:right="20" w:firstLine="652"/>
        <w:spacing w:after="0" w:line="263" w:lineRule="auto"/>
        <w:tabs>
          <w:tab w:leader="none" w:pos="2248"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83" w:lineRule="exact"/>
        <w:rPr>
          <w:rFonts w:ascii="Arial" w:cs="Arial" w:eastAsia="Arial" w:hAnsi="Arial"/>
          <w:sz w:val="18"/>
          <w:szCs w:val="18"/>
          <w:color w:val="auto"/>
        </w:rPr>
      </w:pPr>
    </w:p>
    <w:p>
      <w:pPr>
        <w:ind w:left="644" w:firstLine="652"/>
        <w:spacing w:after="0" w:line="277" w:lineRule="auto"/>
        <w:tabs>
          <w:tab w:leader="none" w:pos="2176"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Company, in its sole discretion, permits the exchange of any beneficial interest in such Global Note for one or more Physical Notes at the request of the owner of such beneficial interest.</w:t>
      </w:r>
    </w:p>
    <w:p>
      <w:pPr>
        <w:spacing w:after="0" w:line="386" w:lineRule="exact"/>
        <w:rPr>
          <w:rFonts w:ascii="Arial" w:cs="Arial" w:eastAsia="Arial" w:hAnsi="Arial"/>
          <w:sz w:val="18"/>
          <w:szCs w:val="18"/>
          <w:color w:val="auto"/>
        </w:rPr>
      </w:pPr>
    </w:p>
    <w:p>
      <w:pPr>
        <w:ind w:left="4884" w:hanging="111"/>
        <w:spacing w:after="0"/>
        <w:tabs>
          <w:tab w:leader="none" w:pos="4884" w:val="left"/>
        </w:tabs>
        <w:numPr>
          <w:ilvl w:val="3"/>
          <w:numId w:val="20"/>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ind w:left="1624" w:hanging="976"/>
        <w:spacing w:after="0"/>
        <w:tabs>
          <w:tab w:leader="none" w:pos="16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satisfaction of the requirements of this Indenture to effect a transfer or exchange of any Global Note (or any portion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left="644" w:firstLine="652"/>
        <w:spacing w:after="0" w:line="259" w:lineRule="auto"/>
        <w:tabs>
          <w:tab w:leader="none" w:pos="2419" w:val="left"/>
        </w:tabs>
        <w:numPr>
          <w:ilvl w:val="2"/>
          <w:numId w:val="22"/>
        </w:numPr>
        <w:rPr>
          <w:rFonts w:ascii="Arial" w:cs="Arial" w:eastAsia="Arial" w:hAnsi="Arial"/>
          <w:sz w:val="18"/>
          <w:szCs w:val="18"/>
          <w:color w:val="auto"/>
        </w:rPr>
      </w:pPr>
      <w:r>
        <w:rPr>
          <w:rFonts w:ascii="Arial" w:cs="Arial" w:eastAsia="Arial" w:hAnsi="Arial"/>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44" w:firstLine="652"/>
        <w:spacing w:after="0" w:line="263" w:lineRule="auto"/>
        <w:tabs>
          <w:tab w:leader="none" w:pos="2298" w:val="left"/>
        </w:tabs>
        <w:numPr>
          <w:ilvl w:val="2"/>
          <w:numId w:val="22"/>
        </w:numPr>
        <w:rPr>
          <w:rFonts w:ascii="Arial" w:cs="Arial" w:eastAsia="Arial" w:hAnsi="Arial"/>
          <w:sz w:val="18"/>
          <w:szCs w:val="18"/>
          <w:color w:val="auto"/>
        </w:rPr>
      </w:pPr>
      <w:r>
        <w:rPr>
          <w:rFonts w:ascii="Arial" w:cs="Arial" w:eastAsia="Arial" w:hAnsi="Arial"/>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83" w:lineRule="exact"/>
        <w:rPr>
          <w:rFonts w:ascii="Arial" w:cs="Arial" w:eastAsia="Arial" w:hAnsi="Arial"/>
          <w:sz w:val="18"/>
          <w:szCs w:val="18"/>
          <w:color w:val="auto"/>
        </w:rPr>
      </w:pPr>
    </w:p>
    <w:p>
      <w:pPr>
        <w:jc w:val="both"/>
        <w:ind w:left="644" w:firstLine="652"/>
        <w:spacing w:after="0" w:line="263" w:lineRule="auto"/>
        <w:tabs>
          <w:tab w:leader="none" w:pos="2311" w:val="left"/>
        </w:tabs>
        <w:numPr>
          <w:ilvl w:val="2"/>
          <w:numId w:val="22"/>
        </w:numPr>
        <w:rPr>
          <w:rFonts w:ascii="Arial" w:cs="Arial" w:eastAsia="Arial" w:hAnsi="Arial"/>
          <w:sz w:val="18"/>
          <w:szCs w:val="18"/>
          <w:color w:val="auto"/>
        </w:rPr>
      </w:pPr>
      <w:r>
        <w:rPr>
          <w:rFonts w:ascii="Arial" w:cs="Arial" w:eastAsia="Arial" w:hAnsi="Arial"/>
          <w:sz w:val="18"/>
          <w:szCs w:val="18"/>
          <w:color w:val="auto"/>
        </w:rPr>
        <w:t xml:space="preserve">if required to effect such transfer or exchange, then the Company will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a new Global Note bearing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644" w:firstLine="652"/>
        <w:spacing w:after="0" w:line="275" w:lineRule="auto"/>
        <w:tabs>
          <w:tab w:leader="none" w:pos="2244" w:val="left"/>
        </w:tabs>
        <w:numPr>
          <w:ilvl w:val="2"/>
          <w:numId w:val="22"/>
        </w:numPr>
        <w:rPr>
          <w:rFonts w:ascii="Arial" w:cs="Arial" w:eastAsia="Arial" w:hAnsi="Arial"/>
          <w:sz w:val="17"/>
          <w:szCs w:val="17"/>
          <w:color w:val="auto"/>
        </w:rPr>
      </w:pPr>
      <w:r>
        <w:rPr>
          <w:rFonts w:ascii="Arial" w:cs="Arial" w:eastAsia="Arial" w:hAnsi="Arial"/>
          <w:sz w:val="17"/>
          <w:szCs w:val="17"/>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one or more Physical Notes that are in Authorized Denominations (not to exceed, in the aggregate, the principal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Global Note to be so exchanged), are registered in such name(s) as the Depositary specifies (or as otherwise determined pursuant to customary procedures) and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724" w:hanging="1076"/>
        <w:spacing w:after="0"/>
        <w:tabs>
          <w:tab w:leader="none" w:pos="1724" w:val="left"/>
        </w:tabs>
        <w:numPr>
          <w:ilvl w:val="1"/>
          <w:numId w:val="23"/>
        </w:numPr>
        <w:rPr>
          <w:rFonts w:ascii="Arial" w:cs="Arial" w:eastAsia="Arial" w:hAnsi="Arial"/>
          <w:sz w:val="17"/>
          <w:szCs w:val="17"/>
          <w:color w:val="auto"/>
        </w:rPr>
      </w:pPr>
      <w:r>
        <w:rPr>
          <w:rFonts w:ascii="Arial" w:cs="Arial" w:eastAsia="Arial" w:hAnsi="Arial"/>
          <w:sz w:val="17"/>
          <w:szCs w:val="17"/>
          <w:color w:val="auto"/>
        </w:rPr>
        <w:t>Each transfer or exchange of a beneficial interest in any Global Note will be made in accordance with the Depositary</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Procedures.</w:t>
      </w:r>
    </w:p>
    <w:p>
      <w:pPr>
        <w:spacing w:after="0" w:line="210" w:lineRule="exact"/>
        <w:rPr>
          <w:rFonts w:ascii="Arial" w:cs="Arial" w:eastAsia="Arial" w:hAnsi="Arial"/>
          <w:sz w:val="17"/>
          <w:szCs w:val="17"/>
          <w:color w:val="auto"/>
        </w:rPr>
      </w:pPr>
    </w:p>
    <w:p>
      <w:pPr>
        <w:ind w:left="864" w:hanging="864"/>
        <w:spacing w:after="0"/>
        <w:tabs>
          <w:tab w:leader="none" w:pos="86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Transfers and Exchanges of Physical Notes.</w:t>
      </w:r>
    </w:p>
    <w:p>
      <w:pPr>
        <w:spacing w:after="0" w:line="221" w:lineRule="exact"/>
        <w:rPr>
          <w:rFonts w:ascii="Arial" w:cs="Arial" w:eastAsia="Arial" w:hAnsi="Arial"/>
          <w:sz w:val="18"/>
          <w:szCs w:val="18"/>
          <w:color w:val="auto"/>
        </w:rPr>
      </w:pPr>
    </w:p>
    <w:p>
      <w:pPr>
        <w:jc w:val="both"/>
        <w:ind w:left="4" w:firstLine="644"/>
        <w:spacing w:after="0" w:line="274" w:lineRule="auto"/>
        <w:tabs>
          <w:tab w:leader="none" w:pos="1681"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Subject to this </w:t>
      </w:r>
      <w:r>
        <w:rPr>
          <w:rFonts w:ascii="Arial" w:cs="Arial" w:eastAsia="Arial" w:hAnsi="Arial"/>
          <w:sz w:val="17"/>
          <w:szCs w:val="17"/>
          <w:b w:val="1"/>
          <w:bCs w:val="1"/>
          <w:color w:val="auto"/>
        </w:rPr>
        <w:t>Section 2.10</w:t>
      </w:r>
      <w:r>
        <w:rPr>
          <w:rFonts w:ascii="Arial" w:cs="Arial" w:eastAsia="Arial" w:hAnsi="Arial"/>
          <w:sz w:val="17"/>
          <w:szCs w:val="17"/>
          <w:color w:val="auto"/>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to effect any such transfer or exchange, such Holder must:</w:t>
      </w:r>
    </w:p>
    <w:p>
      <w:pPr>
        <w:spacing w:after="0" w:line="177" w:lineRule="exact"/>
        <w:rPr>
          <w:rFonts w:ascii="Arial" w:cs="Arial" w:eastAsia="Arial" w:hAnsi="Arial"/>
          <w:sz w:val="17"/>
          <w:szCs w:val="17"/>
          <w:color w:val="auto"/>
        </w:rPr>
      </w:pPr>
    </w:p>
    <w:p>
      <w:pPr>
        <w:ind w:left="644" w:firstLine="652"/>
        <w:spacing w:after="0" w:line="277" w:lineRule="auto"/>
        <w:tabs>
          <w:tab w:leader="none" w:pos="2442" w:val="left"/>
        </w:tabs>
        <w:numPr>
          <w:ilvl w:val="2"/>
          <w:numId w:val="24"/>
        </w:numPr>
        <w:rPr>
          <w:rFonts w:ascii="Arial" w:cs="Arial" w:eastAsia="Arial" w:hAnsi="Arial"/>
          <w:sz w:val="18"/>
          <w:szCs w:val="18"/>
          <w:color w:val="auto"/>
        </w:rPr>
      </w:pPr>
      <w:r>
        <w:rPr>
          <w:rFonts w:ascii="Arial" w:cs="Arial" w:eastAsia="Arial" w:hAnsi="Arial"/>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166" w:lineRule="exact"/>
        <w:rPr>
          <w:rFonts w:ascii="Arial" w:cs="Arial" w:eastAsia="Arial" w:hAnsi="Arial"/>
          <w:sz w:val="18"/>
          <w:szCs w:val="18"/>
          <w:color w:val="auto"/>
        </w:rPr>
      </w:pPr>
    </w:p>
    <w:p>
      <w:pPr>
        <w:ind w:left="2144" w:hanging="848"/>
        <w:spacing w:after="0"/>
        <w:tabs>
          <w:tab w:leader="none" w:pos="2144"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deliver such certificates, documentation or evidence as may be required pursuant to </w:t>
      </w:r>
      <w:r>
        <w:rPr>
          <w:rFonts w:ascii="Arial" w:cs="Arial" w:eastAsia="Arial" w:hAnsi="Arial"/>
          <w:sz w:val="18"/>
          <w:szCs w:val="18"/>
          <w:b w:val="1"/>
          <w:bCs w:val="1"/>
          <w:color w:val="auto"/>
        </w:rPr>
        <w:t>Section 2.10(D)</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4884" w:hanging="111"/>
        <w:spacing w:after="0"/>
        <w:tabs>
          <w:tab w:leader="none" w:pos="4884" w:val="left"/>
        </w:tabs>
        <w:numPr>
          <w:ilvl w:val="3"/>
          <w:numId w:val="24"/>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0" w:name="page31"/>
    <w:bookmarkEnd w:id="30"/>
    <w:p>
      <w:pPr>
        <w:jc w:val="both"/>
        <w:ind w:left="-460" w:firstLine="644"/>
        <w:spacing w:after="0" w:line="263"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Upon the satisfaction of the requirements of this Indenture to effect a transfer or exchange of any Physical Note (such Physical Note being referred to as the “old Physical Note” for purposes of this </w:t>
      </w:r>
      <w:r>
        <w:rPr>
          <w:rFonts w:ascii="Arial" w:cs="Arial" w:eastAsia="Arial" w:hAnsi="Arial"/>
          <w:sz w:val="18"/>
          <w:szCs w:val="18"/>
          <w:b w:val="1"/>
          <w:bCs w:val="1"/>
          <w:color w:val="auto"/>
        </w:rPr>
        <w:t>Section 2.10(C)(ii)</w:t>
      </w:r>
      <w:r>
        <w:rPr>
          <w:rFonts w:ascii="Arial" w:cs="Arial" w:eastAsia="Arial" w:hAnsi="Arial"/>
          <w:sz w:val="18"/>
          <w:szCs w:val="18"/>
          <w:color w:val="auto"/>
        </w:rPr>
        <w:t>) of a Holder (or any portion of such old Physical Note in an Authorized Denomination):</w:t>
      </w:r>
    </w:p>
    <w:p>
      <w:pPr>
        <w:spacing w:after="0" w:line="179" w:lineRule="exact"/>
        <w:rPr>
          <w:rFonts w:ascii="Arial" w:cs="Arial" w:eastAsia="Arial" w:hAnsi="Arial"/>
          <w:sz w:val="18"/>
          <w:szCs w:val="18"/>
          <w:color w:val="auto"/>
        </w:rPr>
      </w:pPr>
    </w:p>
    <w:p>
      <w:pPr>
        <w:ind w:left="1680" w:hanging="848"/>
        <w:spacing w:after="0"/>
        <w:tabs>
          <w:tab w:leader="none" w:pos="1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such old Physical Note will be promptly cancelled pursuant to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80" w:firstLine="652"/>
        <w:spacing w:after="0" w:line="301" w:lineRule="auto"/>
        <w:tabs>
          <w:tab w:leader="none" w:pos="1807"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if such old Physical Note is to be transferred or exchanged only in part, then the Company will issue, execute and 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Physical Notes that (x) are in Authorized Denominations and have an aggregate principal amount equal to the principal amount of such old Physical Note not to be transferred or exchanged; (y) are registered in the name of such Holder; and (z)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720" w:hanging="888"/>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case of a transfer:</w:t>
      </w:r>
    </w:p>
    <w:p>
      <w:pPr>
        <w:spacing w:after="0" w:line="225" w:lineRule="exact"/>
        <w:rPr>
          <w:rFonts w:ascii="Arial" w:cs="Arial" w:eastAsia="Arial" w:hAnsi="Arial"/>
          <w:sz w:val="18"/>
          <w:szCs w:val="18"/>
          <w:color w:val="auto"/>
        </w:rPr>
      </w:pPr>
    </w:p>
    <w:p>
      <w:pPr>
        <w:jc w:val="both"/>
        <w:ind w:left="840" w:firstLine="640"/>
        <w:spacing w:after="0" w:line="287" w:lineRule="auto"/>
        <w:tabs>
          <w:tab w:leader="none" w:pos="2290" w:val="left"/>
        </w:tabs>
        <w:numPr>
          <w:ilvl w:val="2"/>
          <w:numId w:val="25"/>
        </w:numPr>
        <w:rPr>
          <w:rFonts w:ascii="Arial" w:cs="Arial" w:eastAsia="Arial" w:hAnsi="Arial"/>
          <w:sz w:val="16"/>
          <w:szCs w:val="16"/>
          <w:color w:val="auto"/>
        </w:rPr>
      </w:pPr>
      <w:r>
        <w:rPr>
          <w:rFonts w:ascii="Arial" w:cs="Arial" w:eastAsia="Arial" w:hAnsi="Arial"/>
          <w:sz w:val="16"/>
          <w:szCs w:val="16"/>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transfer cannot be so effected by notation on one or more existing Global Notes (whether because no Global Notes bearing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Global Notes that (x) are in Authorized Denominations and have an aggregate principal amount equal to the principal amount to be so transferred; and (y)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and</w:t>
      </w:r>
    </w:p>
    <w:p>
      <w:pPr>
        <w:spacing w:after="0" w:line="171" w:lineRule="exact"/>
        <w:rPr>
          <w:rFonts w:ascii="Arial" w:cs="Arial" w:eastAsia="Arial" w:hAnsi="Arial"/>
          <w:sz w:val="16"/>
          <w:szCs w:val="16"/>
          <w:color w:val="auto"/>
        </w:rPr>
      </w:pPr>
    </w:p>
    <w:p>
      <w:pPr>
        <w:jc w:val="both"/>
        <w:ind w:left="840" w:firstLine="640"/>
        <w:spacing w:after="0" w:line="275" w:lineRule="auto"/>
        <w:tabs>
          <w:tab w:leader="none" w:pos="2161" w:val="left"/>
        </w:tabs>
        <w:numPr>
          <w:ilvl w:val="2"/>
          <w:numId w:val="25"/>
        </w:numPr>
        <w:rPr>
          <w:rFonts w:ascii="Arial" w:cs="Arial" w:eastAsia="Arial" w:hAnsi="Arial"/>
          <w:sz w:val="17"/>
          <w:szCs w:val="17"/>
          <w:color w:val="auto"/>
        </w:rPr>
      </w:pPr>
      <w:r>
        <w:rPr>
          <w:rFonts w:ascii="Arial" w:cs="Arial" w:eastAsia="Arial" w:hAnsi="Arial"/>
          <w:sz w:val="17"/>
          <w:szCs w:val="17"/>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 and</w:t>
      </w:r>
    </w:p>
    <w:p>
      <w:pPr>
        <w:spacing w:after="0" w:line="392" w:lineRule="exact"/>
        <w:rPr>
          <w:rFonts w:ascii="Arial" w:cs="Arial" w:eastAsia="Arial" w:hAnsi="Arial"/>
          <w:sz w:val="17"/>
          <w:szCs w:val="17"/>
          <w:color w:val="auto"/>
        </w:rPr>
      </w:pPr>
    </w:p>
    <w:p>
      <w:pPr>
        <w:ind w:left="4420" w:hanging="111"/>
        <w:spacing w:after="0"/>
        <w:tabs>
          <w:tab w:leader="none" w:pos="4420" w:val="left"/>
        </w:tabs>
        <w:numPr>
          <w:ilvl w:val="3"/>
          <w:numId w:val="25"/>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jc w:val="both"/>
        <w:ind w:left="1300" w:firstLine="652"/>
        <w:spacing w:after="0" w:line="279" w:lineRule="auto"/>
        <w:tabs>
          <w:tab w:leader="none" w:pos="2913" w:val="left"/>
        </w:tabs>
        <w:numPr>
          <w:ilvl w:val="2"/>
          <w:numId w:val="26"/>
        </w:numPr>
        <w:rPr>
          <w:rFonts w:ascii="Arial" w:cs="Arial" w:eastAsia="Arial" w:hAnsi="Arial"/>
          <w:sz w:val="17"/>
          <w:szCs w:val="17"/>
          <w:color w:val="auto"/>
        </w:rPr>
      </w:pPr>
      <w:r>
        <w:rPr>
          <w:rFonts w:ascii="Arial" w:cs="Arial" w:eastAsia="Arial" w:hAnsi="Arial"/>
          <w:sz w:val="17"/>
          <w:szCs w:val="17"/>
          <w:color w:val="auto"/>
        </w:rPr>
        <w:t xml:space="preserve">in the case of an exchange,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656"/>
        <w:spacing w:after="0" w:line="277" w:lineRule="auto"/>
        <w:tabs>
          <w:tab w:leader="none" w:pos="149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Requirement to Deliver Documentation and Other Evidence. </w:t>
      </w:r>
      <w:r>
        <w:rPr>
          <w:rFonts w:ascii="Arial" w:cs="Arial" w:eastAsia="Arial" w:hAnsi="Arial"/>
          <w:sz w:val="18"/>
          <w:szCs w:val="18"/>
          <w:color w:val="auto"/>
        </w:rPr>
        <w:t>If a Holder of any Note that is identified by a “restricted” CUSIP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or that bears a Restricted Note Legend or is a Transfer-Restricted Security requests to:</w:t>
      </w:r>
    </w:p>
    <w:p>
      <w:pPr>
        <w:spacing w:after="0" w:line="170" w:lineRule="exact"/>
        <w:rPr>
          <w:rFonts w:ascii="Arial" w:cs="Arial" w:eastAsia="Arial" w:hAnsi="Arial"/>
          <w:sz w:val="18"/>
          <w:szCs w:val="18"/>
          <w:color w:val="auto"/>
        </w:rPr>
      </w:pPr>
    </w:p>
    <w:p>
      <w:pPr>
        <w:ind w:left="2140" w:hanging="836"/>
        <w:spacing w:after="0"/>
        <w:tabs>
          <w:tab w:leader="none" w:pos="2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cause such Note to be identified by an “unrestricted” CUSIP number;</w:t>
      </w:r>
    </w:p>
    <w:p>
      <w:pPr>
        <w:spacing w:after="0" w:line="225" w:lineRule="exact"/>
        <w:rPr>
          <w:rFonts w:ascii="Arial" w:cs="Arial" w:eastAsia="Arial" w:hAnsi="Arial"/>
          <w:sz w:val="18"/>
          <w:szCs w:val="18"/>
          <w:color w:val="auto"/>
        </w:rPr>
      </w:pPr>
    </w:p>
    <w:p>
      <w:pPr>
        <w:ind w:left="2160" w:hanging="856"/>
        <w:spacing w:after="0"/>
        <w:tabs>
          <w:tab w:leader="none" w:pos="2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remove such Restricted Note Legend; or</w:t>
      </w:r>
    </w:p>
    <w:p>
      <w:pPr>
        <w:spacing w:after="0" w:line="225" w:lineRule="exact"/>
        <w:rPr>
          <w:rFonts w:ascii="Arial" w:cs="Arial" w:eastAsia="Arial" w:hAnsi="Arial"/>
          <w:sz w:val="18"/>
          <w:szCs w:val="18"/>
          <w:color w:val="auto"/>
        </w:rPr>
      </w:pPr>
    </w:p>
    <w:p>
      <w:pPr>
        <w:ind w:left="2120" w:hanging="816"/>
        <w:spacing w:after="0"/>
        <w:tabs>
          <w:tab w:leader="none" w:pos="2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register the transfer of such Note to the name of another Person,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may reasonably require to determine that such identification, removal or transfer, as applicable, complies with the Securities Act and other applicable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such certificates, documentation or evidence need be so delivered (w) on and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 (x) in connection with any transfer of such Note pursuant to Rule 144A; (y) in connection with any transfer of such Note to the Company or one of its Subsidiaries; or (z) in connection with any transfer of such Note pursuant to an effective registration statement under the Securities Act. All Notes presented or surrendered for registration of transfer or exchange will be duly endorsed, or accompanied by a written instrument or instruments of transfer in accordance with the Trustee’s customary procedures, and such Notes will be duly endorsed by the Holder thereof or his attorney duly authorized in writing, in each case subject to the Depositary Procedures in the case of any Global Note. Except as otherwise provided in this Indenture, and in addition to the requirements set forth in the Restricted Note Legend, in connection with any transfer of a Transfer-Restricted Security, any request for transfer thereof will be accompanied by a certification to the Trustee relating to the manner of such transfer substantially in the form of the “Transferor Acknowledgement” set forth in </w:t>
      </w:r>
      <w:r>
        <w:rPr>
          <w:rFonts w:ascii="Arial" w:cs="Arial" w:eastAsia="Arial" w:hAnsi="Arial"/>
          <w:sz w:val="16"/>
          <w:szCs w:val="16"/>
          <w:b w:val="1"/>
          <w:bCs w:val="1"/>
          <w:color w:val="auto"/>
        </w:rPr>
        <w:t>Exhibit A</w:t>
      </w:r>
      <w:r>
        <w:rPr>
          <w:rFonts w:ascii="Arial" w:cs="Arial" w:eastAsia="Arial" w:hAnsi="Arial"/>
          <w:sz w:val="16"/>
          <w:szCs w:val="16"/>
          <w:color w:val="auto"/>
        </w:rPr>
        <w:t>.</w:t>
      </w:r>
    </w:p>
    <w:p>
      <w:pPr>
        <w:spacing w:after="0" w:line="174" w:lineRule="exact"/>
        <w:rPr>
          <w:sz w:val="20"/>
          <w:szCs w:val="20"/>
          <w:color w:val="auto"/>
        </w:rPr>
      </w:pPr>
    </w:p>
    <w:p>
      <w:pPr>
        <w:jc w:val="both"/>
        <w:ind w:firstLine="656"/>
        <w:spacing w:after="0" w:line="293" w:lineRule="auto"/>
        <w:tabs>
          <w:tab w:leader="none" w:pos="161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Transfers of Notes Subject to Redemption, Repurchase or Conversion</w:t>
      </w:r>
      <w:r>
        <w:rPr>
          <w:rFonts w:ascii="Arial" w:cs="Arial" w:eastAsia="Arial" w:hAnsi="Arial"/>
          <w:sz w:val="16"/>
          <w:szCs w:val="16"/>
          <w:color w:val="auto"/>
        </w:rPr>
        <w:t>. Notwithstanding anything to the contrary in this Indenture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Notes, the Company, the Trustee and the Registrar will not be required to register the transfer of or exchange any Note that (i) has been surrendered for conversion, except to the extent that any portion of such Note is not subject to conversion; (ii) has been selected for Redemption pursuant to a Redemption Notice, except to the extent that any portion of such Note is not subject to Redemption or the Company fails to pay the applicable Redemption Price when due; or (iii) is subject to a Fundamental Change Repurchase Notice validly delivered, and not withdrawn, pursuant to </w:t>
      </w:r>
      <w:r>
        <w:rPr>
          <w:rFonts w:ascii="Arial" w:cs="Arial" w:eastAsia="Arial" w:hAnsi="Arial"/>
          <w:sz w:val="16"/>
          <w:szCs w:val="16"/>
          <w:b w:val="1"/>
          <w:bCs w:val="1"/>
          <w:color w:val="auto"/>
        </w:rPr>
        <w:t>Section 4.02(F)</w:t>
      </w:r>
      <w:r>
        <w:rPr>
          <w:rFonts w:ascii="Arial" w:cs="Arial" w:eastAsia="Arial" w:hAnsi="Arial"/>
          <w:sz w:val="16"/>
          <w:szCs w:val="16"/>
          <w:color w:val="auto"/>
        </w:rPr>
        <w:t>, except to the extent that any portion of such Note is not subject to such notice or the Company fails to pay the applicable Fundamental Change Repurchase Price when due.</w:t>
      </w:r>
    </w:p>
    <w:p>
      <w:pPr>
        <w:spacing w:after="0" w:line="380" w:lineRule="exact"/>
        <w:rPr>
          <w:rFonts w:ascii="Arial" w:cs="Arial" w:eastAsia="Arial" w:hAnsi="Arial"/>
          <w:sz w:val="16"/>
          <w:szCs w:val="16"/>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line="282" w:lineRule="auto"/>
        <w:rPr>
          <w:sz w:val="20"/>
          <w:szCs w:val="20"/>
          <w:color w:val="auto"/>
        </w:rPr>
      </w:pPr>
      <w:r>
        <w:rPr>
          <w:rFonts w:ascii="Arial" w:cs="Arial" w:eastAsia="Arial" w:hAnsi="Arial"/>
          <w:sz w:val="18"/>
          <w:szCs w:val="18"/>
          <w:b w:val="1"/>
          <w:bCs w:val="1"/>
          <w:color w:val="auto"/>
        </w:rPr>
        <w:t>Section 2.11. E</w:t>
      </w:r>
      <w:r>
        <w:rPr>
          <w:rFonts w:ascii="Arial" w:cs="Arial" w:eastAsia="Arial" w:hAnsi="Arial"/>
          <w:sz w:val="12"/>
          <w:szCs w:val="12"/>
          <w:b w:val="1"/>
          <w:bCs w:val="1"/>
          <w:color w:val="auto"/>
        </w:rPr>
        <w:t>XCHANGE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ANCELLATION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TO</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ONVERTED 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 A</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PON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 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EDEMPTION</w:t>
      </w:r>
      <w:r>
        <w:rPr>
          <w:rFonts w:ascii="Arial" w:cs="Arial" w:eastAsia="Arial" w:hAnsi="Arial"/>
          <w:sz w:val="18"/>
          <w:szCs w:val="18"/>
          <w:b w:val="1"/>
          <w:bCs w:val="1"/>
          <w:color w:val="auto"/>
        </w:rPr>
        <w:t>.</w:t>
      </w:r>
    </w:p>
    <w:p>
      <w:pPr>
        <w:spacing w:after="0" w:line="166" w:lineRule="exact"/>
        <w:rPr>
          <w:sz w:val="20"/>
          <w:szCs w:val="20"/>
          <w:color w:val="auto"/>
        </w:rPr>
      </w:pPr>
    </w:p>
    <w:p>
      <w:pPr>
        <w:jc w:val="both"/>
        <w:ind w:firstLine="656"/>
        <w:spacing w:after="0" w:line="289" w:lineRule="auto"/>
        <w:tabs>
          <w:tab w:leader="none" w:pos="150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Partial Conversions and Repurchases of Physical Notes Pursuant to a Repurchase Upon Fundamental Change or Redemption</w:t>
      </w:r>
      <w:r>
        <w:rPr>
          <w:rFonts w:ascii="Arial" w:cs="Arial" w:eastAsia="Arial" w:hAnsi="Arial"/>
          <w:sz w:val="16"/>
          <w:szCs w:val="16"/>
          <w:color w:val="auto"/>
        </w:rPr>
        <w:t>. If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portion of a Physical Note of a Holder is to be converted pursuant to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Arial" w:cs="Arial" w:eastAsia="Arial" w:hAnsi="Arial"/>
          <w:sz w:val="16"/>
          <w:szCs w:val="16"/>
          <w:b w:val="1"/>
          <w:bCs w:val="1"/>
          <w:color w:val="auto"/>
        </w:rPr>
        <w:t>Section 2.10(C)</w:t>
      </w:r>
      <w:r>
        <w:rPr>
          <w:rFonts w:ascii="Arial" w:cs="Arial" w:eastAsia="Arial" w:hAnsi="Arial"/>
          <w:sz w:val="16"/>
          <w:szCs w:val="16"/>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Physical Note referred to in this clause (ii) need not be issued at any time after which such principal amount subject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conversion or repurchase, as applicable, is deemed to cease to be outstanding pursuant to </w:t>
      </w:r>
      <w:r>
        <w:rPr>
          <w:rFonts w:ascii="Arial" w:cs="Arial" w:eastAsia="Arial" w:hAnsi="Arial"/>
          <w:sz w:val="16"/>
          <w:szCs w:val="16"/>
          <w:b w:val="1"/>
          <w:bCs w:val="1"/>
          <w:color w:val="auto"/>
        </w:rPr>
        <w:t>Section 2.18</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520" w:hanging="864"/>
        <w:spacing w:after="0"/>
        <w:tabs>
          <w:tab w:leader="none" w:pos="15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Cancellation of Converted and Repurchased Notes Pursuant to a Repurchase Upon Fundamental Change or Redemption</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jc w:val="both"/>
        <w:ind w:left="660" w:firstLine="644"/>
        <w:spacing w:after="0" w:line="272" w:lineRule="auto"/>
        <w:tabs>
          <w:tab w:leader="none" w:pos="2485"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Physical Notes</w:t>
      </w:r>
      <w:r>
        <w:rPr>
          <w:rFonts w:ascii="Arial" w:cs="Arial" w:eastAsia="Arial" w:hAnsi="Arial"/>
          <w:sz w:val="17"/>
          <w:szCs w:val="17"/>
          <w:color w:val="auto"/>
        </w:rPr>
        <w:t>. If a Physical Note (or any portion thereof that has not theretofore been exchanged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2.11(A)</w:t>
      </w:r>
      <w:r>
        <w:rPr>
          <w:rFonts w:ascii="Arial" w:cs="Arial" w:eastAsia="Arial" w:hAnsi="Arial"/>
          <w:sz w:val="17"/>
          <w:szCs w:val="17"/>
          <w:color w:val="auto"/>
        </w:rPr>
        <w:t>) of a Holder is to be converted pursuant to</w:t>
      </w:r>
      <w:r>
        <w:rPr>
          <w:rFonts w:ascii="Arial" w:cs="Arial" w:eastAsia="Arial" w:hAnsi="Arial"/>
          <w:sz w:val="17"/>
          <w:szCs w:val="17"/>
          <w:b w:val="1"/>
          <w:bCs w:val="1"/>
          <w:color w:val="auto"/>
        </w:rPr>
        <w:t xml:space="preserve"> Article 5 </w:t>
      </w:r>
      <w:r>
        <w:rPr>
          <w:rFonts w:ascii="Arial" w:cs="Arial" w:eastAsia="Arial" w:hAnsi="Arial"/>
          <w:sz w:val="17"/>
          <w:szCs w:val="17"/>
          <w:color w:val="auto"/>
        </w:rPr>
        <w:t>or repurchased pursuant to a Repurchase Upon Fundamental Change or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then, promptly after the later of the time such Physical Note (or such portion) is deemed to cease to be outstanding pursuant to </w:t>
      </w:r>
      <w:r>
        <w:rPr>
          <w:rFonts w:ascii="Arial" w:cs="Arial" w:eastAsia="Arial" w:hAnsi="Arial"/>
          <w:sz w:val="17"/>
          <w:szCs w:val="17"/>
          <w:b w:val="1"/>
          <w:bCs w:val="1"/>
          <w:color w:val="auto"/>
        </w:rPr>
        <w:t>Section 2.18</w:t>
      </w:r>
      <w:r>
        <w:rPr>
          <w:rFonts w:ascii="Arial" w:cs="Arial" w:eastAsia="Arial" w:hAnsi="Arial"/>
          <w:sz w:val="17"/>
          <w:szCs w:val="17"/>
          <w:color w:val="auto"/>
        </w:rPr>
        <w:t xml:space="preserve"> and the time such Physical Note is surrendered for such conversion or repurchase, as applicable, (1) such Physical Note will be cancelled pursuant to </w:t>
      </w:r>
      <w:r>
        <w:rPr>
          <w:rFonts w:ascii="Arial" w:cs="Arial" w:eastAsia="Arial" w:hAnsi="Arial"/>
          <w:sz w:val="17"/>
          <w:szCs w:val="17"/>
          <w:b w:val="1"/>
          <w:bCs w:val="1"/>
          <w:color w:val="auto"/>
        </w:rPr>
        <w:t>Section 2.15</w:t>
      </w:r>
      <w:r>
        <w:rPr>
          <w:rFonts w:ascii="Arial" w:cs="Arial" w:eastAsia="Arial" w:hAnsi="Arial"/>
          <w:sz w:val="17"/>
          <w:szCs w:val="17"/>
          <w:color w:val="auto"/>
        </w:rPr>
        <w:t>; and (2) in the case of a partial conversion or repurchase, the Company will issue, execute and deliver to such Holder, and the Trustee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one or more Physical Notes that (x) are in Authorized Denominations and have an aggregate principal amount equal to the principal amount of such Physical Note that is not to be so converted or repurchased; (y) are registered in the name of such Holder; and (z)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660" w:firstLine="644"/>
        <w:spacing w:after="0" w:line="256" w:lineRule="auto"/>
        <w:tabs>
          <w:tab w:leader="none" w:pos="2211"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If a Global Note (or any portion thereof) is to be converted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5</w:t>
      </w:r>
      <w:r>
        <w:rPr>
          <w:rFonts w:ascii="Arial" w:cs="Arial" w:eastAsia="Arial" w:hAnsi="Arial"/>
          <w:sz w:val="18"/>
          <w:szCs w:val="18"/>
          <w:i w:val="1"/>
          <w:iCs w:val="1"/>
          <w:color w:val="auto"/>
        </w:rPr>
        <w:t xml:space="preserve"> </w:t>
      </w:r>
      <w:r>
        <w:rPr>
          <w:rFonts w:ascii="Arial" w:cs="Arial" w:eastAsia="Arial" w:hAnsi="Arial"/>
          <w:sz w:val="18"/>
          <w:szCs w:val="18"/>
          <w:color w:val="auto"/>
        </w:rPr>
        <w:t>or repurchased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Repurchase Upon Fundamental Change or Redemption, then, promptly after the time such Note (or such portion) is deemed to cease to be outstanding pursuant to </w:t>
      </w:r>
      <w:r>
        <w:rPr>
          <w:rFonts w:ascii="Arial" w:cs="Arial" w:eastAsia="Arial" w:hAnsi="Arial"/>
          <w:sz w:val="18"/>
          <w:szCs w:val="18"/>
          <w:b w:val="1"/>
          <w:bCs w:val="1"/>
          <w:color w:val="auto"/>
        </w:rPr>
        <w:t>Section 2.18</w:t>
      </w:r>
      <w:r>
        <w:rPr>
          <w:rFonts w:ascii="Arial" w:cs="Arial" w:eastAsia="Arial" w:hAnsi="Arial"/>
          <w:sz w:val="18"/>
          <w:szCs w:val="18"/>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5540" w:hanging="111"/>
        <w:spacing w:after="0"/>
        <w:tabs>
          <w:tab w:leader="none" w:pos="55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tabs>
          <w:tab w:leader="none" w:pos="1180" w:val="left"/>
        </w:tabs>
        <w:rPr>
          <w:sz w:val="20"/>
          <w:szCs w:val="20"/>
          <w:color w:val="auto"/>
        </w:rPr>
      </w:pPr>
      <w:r>
        <w:rPr>
          <w:rFonts w:ascii="Arial" w:cs="Arial" w:eastAsia="Arial" w:hAnsi="Arial"/>
          <w:sz w:val="18"/>
          <w:szCs w:val="18"/>
          <w:b w:val="1"/>
          <w:bCs w:val="1"/>
          <w:color w:val="auto"/>
        </w:rPr>
        <w:t>Section 2.12.</w:t>
        <w:tab/>
        <w:t>R</w:t>
      </w:r>
      <w:r>
        <w:rPr>
          <w:rFonts w:ascii="Arial" w:cs="Arial" w:eastAsia="Arial" w:hAnsi="Arial"/>
          <w:sz w:val="12"/>
          <w:szCs w:val="12"/>
          <w:b w:val="1"/>
          <w:bCs w:val="1"/>
          <w:color w:val="auto"/>
        </w:rPr>
        <w:t>EMOVAL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Without limiting the generality of any other provision of this Indenture (including </w:t>
      </w:r>
      <w:r>
        <w:rPr>
          <w:rFonts w:ascii="Arial" w:cs="Arial" w:eastAsia="Arial" w:hAnsi="Arial"/>
          <w:sz w:val="17"/>
          <w:szCs w:val="17"/>
          <w:b w:val="1"/>
          <w:bCs w:val="1"/>
          <w:color w:val="auto"/>
        </w:rPr>
        <w:t>Section 3.04</w:t>
      </w:r>
      <w:r>
        <w:rPr>
          <w:rFonts w:ascii="Arial" w:cs="Arial" w:eastAsia="Arial" w:hAnsi="Arial"/>
          <w:sz w:val="17"/>
          <w:szCs w:val="17"/>
          <w:color w:val="auto"/>
        </w:rPr>
        <w:t xml:space="preserve">), the Restricted Note Legend affixed to any Note will be deemed, pursuant to this </w:t>
      </w:r>
      <w:r>
        <w:rPr>
          <w:rFonts w:ascii="Arial" w:cs="Arial" w:eastAsia="Arial" w:hAnsi="Arial"/>
          <w:sz w:val="17"/>
          <w:szCs w:val="17"/>
          <w:b w:val="1"/>
          <w:bCs w:val="1"/>
          <w:color w:val="auto"/>
        </w:rPr>
        <w:t>Section 2.12</w:t>
      </w:r>
      <w:r>
        <w:rPr>
          <w:rFonts w:ascii="Arial" w:cs="Arial" w:eastAsia="Arial" w:hAnsi="Arial"/>
          <w:sz w:val="17"/>
          <w:szCs w:val="17"/>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Arial" w:cs="Arial" w:eastAsia="Arial" w:hAnsi="Arial"/>
          <w:sz w:val="17"/>
          <w:szCs w:val="17"/>
          <w:b w:val="1"/>
          <w:bCs w:val="1"/>
          <w:color w:val="auto"/>
        </w:rPr>
        <w:t>Section 2.12</w:t>
      </w:r>
      <w:r>
        <w:rPr>
          <w:rFonts w:ascii="Arial" w:cs="Arial" w:eastAsia="Arial" w:hAnsi="Arial"/>
          <w:sz w:val="17"/>
          <w:szCs w:val="17"/>
          <w:color w:val="auto"/>
        </w:rPr>
        <w:t xml:space="preserve"> and the footnotes to the CUSIP and ISIN numbers set forth on the face of the certificate representing such Note, to thereafter bear the “unrestricted” CUSIP and ISIN numbers identified in such footnotes;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Arial" w:cs="Arial" w:eastAsia="Arial" w:hAnsi="Arial"/>
          <w:sz w:val="17"/>
          <w:szCs w:val="17"/>
          <w:b w:val="1"/>
          <w:bCs w:val="1"/>
          <w:color w:val="auto"/>
        </w:rPr>
        <w:t>Section 3.04</w:t>
      </w:r>
      <w:r>
        <w:rPr>
          <w:rFonts w:ascii="Arial" w:cs="Arial" w:eastAsia="Arial" w:hAnsi="Arial"/>
          <w:sz w:val="17"/>
          <w:szCs w:val="17"/>
          <w:color w:val="auto"/>
        </w:rPr>
        <w:t xml:space="preserve"> and the definition of Freely Tradable, such Global Note will not be deemed to be identified by “unrestricted” CUSIP and ISIN numbers until such time as such exchange or procedure is effected.</w:t>
      </w:r>
    </w:p>
    <w:p>
      <w:pPr>
        <w:spacing w:after="0" w:line="18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2.13.</w:t>
        <w:tab/>
        <w:t>R</w:t>
      </w:r>
      <w:r>
        <w:rPr>
          <w:rFonts w:ascii="Arial" w:cs="Arial" w:eastAsia="Arial" w:hAnsi="Arial"/>
          <w:sz w:val="12"/>
          <w:szCs w:val="12"/>
          <w:b w:val="1"/>
          <w:bCs w:val="1"/>
          <w:color w:val="auto"/>
        </w:rPr>
        <w:t>EPLACEMENT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reasonably satisfactory to the Company and the Trustee to protect the Company and the Trustee from any loss that any of them may suffer if such Note is replaced.</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Every replacement Note issued pursuant to this </w:t>
      </w:r>
      <w:r>
        <w:rPr>
          <w:rFonts w:ascii="Arial" w:cs="Arial" w:eastAsia="Arial" w:hAnsi="Arial"/>
          <w:sz w:val="18"/>
          <w:szCs w:val="18"/>
          <w:b w:val="1"/>
          <w:bCs w:val="1"/>
          <w:color w:val="auto"/>
        </w:rPr>
        <w:t>Section 2.13</w:t>
      </w:r>
      <w:r>
        <w:rPr>
          <w:rFonts w:ascii="Arial" w:cs="Arial" w:eastAsia="Arial" w:hAnsi="Arial"/>
          <w:sz w:val="18"/>
          <w:szCs w:val="18"/>
          <w:color w:val="auto"/>
        </w:rPr>
        <w:t xml:space="preserve"> will be an additional obligation of the Company and will be entitled to all of the benefits of this Indenture equally and ratably with all other Notes issued under this Indenture.</w:t>
      </w:r>
    </w:p>
    <w:p>
      <w:pPr>
        <w:spacing w:after="0" w:line="16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2.14.</w:t>
        <w:tab/>
        <w:t>R</w:t>
      </w:r>
      <w:r>
        <w:rPr>
          <w:rFonts w:ascii="Arial" w:cs="Arial" w:eastAsia="Arial" w:hAnsi="Arial"/>
          <w:sz w:val="12"/>
          <w:szCs w:val="12"/>
          <w:b w:val="1"/>
          <w:bCs w:val="1"/>
          <w:color w:val="auto"/>
        </w:rPr>
        <w:t>EGISTERED</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 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WITH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ESPECT TO</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tabs>
          <w:tab w:leader="none" w:pos="1180" w:val="left"/>
        </w:tabs>
        <w:rPr>
          <w:sz w:val="20"/>
          <w:szCs w:val="20"/>
          <w:color w:val="auto"/>
        </w:rPr>
      </w:pPr>
      <w:r>
        <w:rPr>
          <w:rFonts w:ascii="Arial" w:cs="Arial" w:eastAsia="Arial" w:hAnsi="Arial"/>
          <w:sz w:val="18"/>
          <w:szCs w:val="18"/>
          <w:b w:val="1"/>
          <w:bCs w:val="1"/>
          <w:color w:val="auto"/>
        </w:rPr>
        <w:t>Section 2.15.</w:t>
        <w:tab/>
        <w:t>C</w:t>
      </w:r>
      <w:r>
        <w:rPr>
          <w:rFonts w:ascii="Arial" w:cs="Arial" w:eastAsia="Arial" w:hAnsi="Arial"/>
          <w:sz w:val="12"/>
          <w:szCs w:val="12"/>
          <w:b w:val="1"/>
          <w:bCs w:val="1"/>
          <w:color w:val="auto"/>
        </w:rPr>
        <w:t>ANCELLATION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3.07</w:t>
      </w:r>
      <w:r>
        <w:rPr>
          <w:rFonts w:ascii="Arial" w:cs="Arial" w:eastAsia="Arial" w:hAnsi="Arial"/>
          <w:sz w:val="18"/>
          <w:szCs w:val="18"/>
          <w:color w:val="auto"/>
        </w:rPr>
        <w:t xml:space="preserve">, 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accordance with its customary procedures. Without limiting the generality of </w:t>
      </w:r>
      <w:r>
        <w:rPr>
          <w:rFonts w:ascii="Arial" w:cs="Arial" w:eastAsia="Arial" w:hAnsi="Arial"/>
          <w:sz w:val="18"/>
          <w:szCs w:val="18"/>
          <w:b w:val="1"/>
          <w:bCs w:val="1"/>
          <w:color w:val="auto"/>
        </w:rPr>
        <w:t>Section 2.03(B)</w:t>
      </w:r>
      <w:r>
        <w:rPr>
          <w:rFonts w:ascii="Arial" w:cs="Arial" w:eastAsia="Arial" w:hAnsi="Arial"/>
          <w:sz w:val="18"/>
          <w:szCs w:val="18"/>
          <w:color w:val="auto"/>
        </w:rPr>
        <w:t>, the Company may not originally issue new Notes to replace Notes that it has paid or that have been cancelled upon transfer, exchange, payment or conversion.</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2.16.</w:t>
        <w:tab/>
        <w:t>N</w:t>
      </w:r>
      <w:r>
        <w:rPr>
          <w:rFonts w:ascii="Arial" w:cs="Arial" w:eastAsia="Arial" w:hAnsi="Arial"/>
          <w:sz w:val="12"/>
          <w:szCs w:val="12"/>
          <w:b w:val="1"/>
          <w:bCs w:val="1"/>
          <w:color w:val="auto"/>
        </w:rPr>
        <w:t>OTES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ELD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 ITS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FFILIATES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3.07</w:t>
      </w:r>
      <w:r>
        <w:rPr>
          <w:rFonts w:ascii="Arial" w:cs="Arial" w:eastAsia="Arial" w:hAnsi="Arial"/>
          <w:sz w:val="18"/>
          <w:szCs w:val="18"/>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determining whether the Trustee is protected in relying on any such direction, waiver or consent, only Notes that a</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Officer of the Trustee knows are so owned will be so disregarded.</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2.17.</w:t>
        <w:tab/>
        <w:t>T</w:t>
      </w:r>
      <w:r>
        <w:rPr>
          <w:rFonts w:ascii="Arial" w:cs="Arial" w:eastAsia="Arial" w:hAnsi="Arial"/>
          <w:sz w:val="12"/>
          <w:szCs w:val="12"/>
          <w:b w:val="1"/>
          <w:bCs w:val="1"/>
          <w:color w:val="auto"/>
        </w:rPr>
        <w:t>EMPORARY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Until definitive Notes are ready for delivery, the Company may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definitive Notes in exchange for temporary Notes. Until so exchanged, each temporary Note will in all respects be entitled to the same benefits under this Indenture as definitive Notes.</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2.18.</w:t>
      </w:r>
      <w:r>
        <w:rPr>
          <w:sz w:val="20"/>
          <w:szCs w:val="20"/>
          <w:color w:val="auto"/>
        </w:rPr>
        <w:tab/>
      </w:r>
      <w:r>
        <w:rPr>
          <w:rFonts w:ascii="Arial" w:cs="Arial" w:eastAsia="Arial" w:hAnsi="Arial"/>
          <w:sz w:val="17"/>
          <w:szCs w:val="17"/>
          <w:b w:val="1"/>
          <w:bCs w:val="1"/>
          <w:color w:val="auto"/>
        </w:rPr>
        <w:t>O</w:t>
      </w:r>
      <w:r>
        <w:rPr>
          <w:rFonts w:ascii="Arial" w:cs="Arial" w:eastAsia="Arial" w:hAnsi="Arial"/>
          <w:sz w:val="11"/>
          <w:szCs w:val="11"/>
          <w:b w:val="1"/>
          <w:bCs w:val="1"/>
          <w:color w:val="auto"/>
        </w:rPr>
        <w:t>UTSTANDING</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OTES</w:t>
      </w:r>
      <w:r>
        <w:rPr>
          <w:rFonts w:ascii="Arial" w:cs="Arial" w:eastAsia="Arial" w:hAnsi="Arial"/>
          <w:sz w:val="17"/>
          <w:szCs w:val="17"/>
          <w:b w:val="1"/>
          <w:bCs w:val="1"/>
          <w:color w:val="auto"/>
        </w:rPr>
        <w:t>.</w:t>
      </w:r>
    </w:p>
    <w:p>
      <w:pPr>
        <w:spacing w:after="0" w:line="229" w:lineRule="exact"/>
        <w:rPr>
          <w:sz w:val="20"/>
          <w:szCs w:val="20"/>
          <w:color w:val="auto"/>
        </w:rPr>
      </w:pPr>
    </w:p>
    <w:p>
      <w:pPr>
        <w:jc w:val="both"/>
        <w:ind w:firstLine="656"/>
        <w:spacing w:after="0" w:line="257" w:lineRule="auto"/>
        <w:tabs>
          <w:tab w:leader="none" w:pos="148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Notes that are outstanding at any time will be deemed to be those Notes that, at such time, have been duly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authenticated, excluding those Notes (or portions thereof) that have theretofore been (i) cancelled by the Trustee or delivered to the Trustee for cancellation in accordance with </w:t>
      </w:r>
      <w:r>
        <w:rPr>
          <w:rFonts w:ascii="Arial" w:cs="Arial" w:eastAsia="Arial" w:hAnsi="Arial"/>
          <w:sz w:val="18"/>
          <w:szCs w:val="18"/>
          <w:b w:val="1"/>
          <w:bCs w:val="1"/>
          <w:color w:val="auto"/>
        </w:rPr>
        <w:t>Section 2.15</w:t>
      </w:r>
      <w:r>
        <w:rPr>
          <w:rFonts w:ascii="Arial" w:cs="Arial" w:eastAsia="Arial" w:hAnsi="Arial"/>
          <w:sz w:val="18"/>
          <w:szCs w:val="18"/>
          <w:color w:val="auto"/>
        </w:rPr>
        <w:t xml:space="preserve">; (ii) assigned a principal amount of zero by notation on the “Schedule of Exchanges of Interests in the Global Note” forming part of any a Global Note representing such Note; (iii) paid in full in accordance with this Indenture; or (iv) deemed to cease to be outstanding to the extent provided in, and subject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8"/>
          <w:szCs w:val="18"/>
          <w:color w:val="auto"/>
        </w:rPr>
        <w:t xml:space="preserve"> or </w:t>
      </w:r>
      <w:r>
        <w:rPr>
          <w:rFonts w:ascii="Arial" w:cs="Arial" w:eastAsia="Arial" w:hAnsi="Arial"/>
          <w:sz w:val="18"/>
          <w:szCs w:val="18"/>
          <w:b w:val="1"/>
          <w:bCs w:val="1"/>
          <w:color w:val="auto"/>
        </w:rPr>
        <w:t>(D)</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2.18</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hanging="111"/>
        <w:spacing w:after="0"/>
        <w:tabs>
          <w:tab w:leader="none" w:pos="5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56"/>
        <w:spacing w:after="0" w:line="266" w:lineRule="auto"/>
        <w:tabs>
          <w:tab w:leader="none" w:pos="181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Replaced Notes</w:t>
      </w:r>
      <w:r>
        <w:rPr>
          <w:rFonts w:ascii="Arial" w:cs="Arial" w:eastAsia="Arial" w:hAnsi="Arial"/>
          <w:sz w:val="18"/>
          <w:szCs w:val="18"/>
          <w:color w:val="auto"/>
        </w:rPr>
        <w:t>. If a Note is replaced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2.13</w:t>
      </w:r>
      <w:r>
        <w:rPr>
          <w:rFonts w:ascii="Arial" w:cs="Arial" w:eastAsia="Arial" w:hAnsi="Arial"/>
          <w:sz w:val="18"/>
          <w:szCs w:val="18"/>
          <w:color w:val="auto"/>
        </w:rPr>
        <w:t>, then such Note will cease to be outstanding at the time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unless the Trustee and the Company receive proof reasonably satisfactory to them that such Note is held by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purchaser” under applicable law.</w:t>
      </w:r>
    </w:p>
    <w:p>
      <w:pPr>
        <w:spacing w:after="0" w:line="179" w:lineRule="exact"/>
        <w:rPr>
          <w:rFonts w:ascii="Arial" w:cs="Arial" w:eastAsia="Arial" w:hAnsi="Arial"/>
          <w:sz w:val="18"/>
          <w:szCs w:val="18"/>
          <w:color w:val="auto"/>
        </w:rPr>
      </w:pPr>
    </w:p>
    <w:p>
      <w:pPr>
        <w:jc w:val="both"/>
        <w:ind w:firstLine="656"/>
        <w:spacing w:after="0" w:line="271" w:lineRule="auto"/>
        <w:tabs>
          <w:tab w:leader="none" w:pos="1882"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Maturing Notes and Notes Called for Redemption Subject to Repurchase</w:t>
      </w:r>
      <w:r>
        <w:rPr>
          <w:rFonts w:ascii="Arial" w:cs="Arial" w:eastAsia="Arial" w:hAnsi="Arial"/>
          <w:sz w:val="17"/>
          <w:szCs w:val="17"/>
          <w:color w:val="auto"/>
        </w:rPr>
        <w:t>. If, on a Redemption Date, a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Arial" w:cs="Arial" w:eastAsia="Arial" w:hAnsi="Arial"/>
          <w:sz w:val="17"/>
          <w:szCs w:val="17"/>
          <w:b w:val="1"/>
          <w:bCs w:val="1"/>
          <w:color w:val="auto"/>
        </w:rPr>
        <w:t>Sections 4.02(D)</w:t>
      </w:r>
      <w:r>
        <w:rPr>
          <w:rFonts w:ascii="Arial" w:cs="Arial" w:eastAsia="Arial" w:hAnsi="Arial"/>
          <w:sz w:val="17"/>
          <w:szCs w:val="17"/>
          <w:color w:val="auto"/>
        </w:rPr>
        <w:t xml:space="preserve">, </w:t>
      </w:r>
      <w:r>
        <w:rPr>
          <w:rFonts w:ascii="Arial" w:cs="Arial" w:eastAsia="Arial" w:hAnsi="Arial"/>
          <w:sz w:val="17"/>
          <w:szCs w:val="17"/>
          <w:b w:val="1"/>
          <w:bCs w:val="1"/>
          <w:color w:val="auto"/>
        </w:rPr>
        <w:t>4.03(E)</w:t>
      </w:r>
      <w:r>
        <w:rPr>
          <w:rFonts w:ascii="Arial" w:cs="Arial" w:eastAsia="Arial" w:hAnsi="Arial"/>
          <w:sz w:val="17"/>
          <w:szCs w:val="17"/>
          <w:color w:val="auto"/>
        </w:rPr>
        <w:t xml:space="preserve"> or </w:t>
      </w:r>
      <w:r>
        <w:rPr>
          <w:rFonts w:ascii="Arial" w:cs="Arial" w:eastAsia="Arial" w:hAnsi="Arial"/>
          <w:sz w:val="17"/>
          <w:szCs w:val="17"/>
          <w:b w:val="1"/>
          <w:bCs w:val="1"/>
          <w:color w:val="auto"/>
        </w:rPr>
        <w:t>5.02(D)</w:t>
      </w:r>
      <w:r>
        <w:rPr>
          <w:rFonts w:ascii="Arial" w:cs="Arial" w:eastAsia="Arial" w:hAnsi="Arial"/>
          <w:sz w:val="17"/>
          <w:szCs w:val="17"/>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spacing w:after="0" w:line="178" w:lineRule="exact"/>
        <w:rPr>
          <w:rFonts w:ascii="Arial" w:cs="Arial" w:eastAsia="Arial" w:hAnsi="Arial"/>
          <w:sz w:val="17"/>
          <w:szCs w:val="17"/>
          <w:color w:val="auto"/>
        </w:rPr>
      </w:pPr>
    </w:p>
    <w:p>
      <w:pPr>
        <w:jc w:val="both"/>
        <w:ind w:firstLine="656"/>
        <w:spacing w:after="0" w:line="311" w:lineRule="auto"/>
        <w:tabs>
          <w:tab w:leader="none" w:pos="1563"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Notes to Be Converted</w:t>
      </w:r>
      <w:r>
        <w:rPr>
          <w:rFonts w:ascii="Arial" w:cs="Arial" w:eastAsia="Arial" w:hAnsi="Arial"/>
          <w:sz w:val="16"/>
          <w:szCs w:val="16"/>
          <w:color w:val="auto"/>
        </w:rPr>
        <w:t>. At the Close of Business on the Conversion Date for any Note (or any portion thereof) to be converted,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(or such portion) will (unless there occurs a Default in the delivery of the Conversion Consideration or interest due, pursuant to </w:t>
      </w:r>
      <w:r>
        <w:rPr>
          <w:rFonts w:ascii="Arial" w:cs="Arial" w:eastAsia="Arial" w:hAnsi="Arial"/>
          <w:sz w:val="16"/>
          <w:szCs w:val="16"/>
          <w:b w:val="1"/>
          <w:bCs w:val="1"/>
          <w:color w:val="auto"/>
        </w:rPr>
        <w:t>Section 5.03(B)</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5.02(D)</w:t>
      </w:r>
      <w:r>
        <w:rPr>
          <w:rFonts w:ascii="Arial" w:cs="Arial" w:eastAsia="Arial" w:hAnsi="Arial"/>
          <w:sz w:val="16"/>
          <w:szCs w:val="16"/>
          <w:color w:val="auto"/>
        </w:rPr>
        <w:t>, upon such conversion) be deemed to cease to be outstanding, except to the extent provided in</w:t>
      </w:r>
      <w:r>
        <w:rPr>
          <w:rFonts w:ascii="Arial" w:cs="Arial" w:eastAsia="Arial" w:hAnsi="Arial"/>
          <w:sz w:val="16"/>
          <w:szCs w:val="16"/>
          <w:b w:val="1"/>
          <w:bCs w:val="1"/>
          <w:color w:val="auto"/>
        </w:rPr>
        <w:t xml:space="preserve"> Section 5.02(D) </w:t>
      </w:r>
      <w:r>
        <w:rPr>
          <w:rFonts w:ascii="Arial" w:cs="Arial" w:eastAsia="Arial" w:hAnsi="Arial"/>
          <w:sz w:val="16"/>
          <w:szCs w:val="16"/>
          <w:color w:val="auto"/>
        </w:rPr>
        <w:t>or</w:t>
      </w:r>
      <w:r>
        <w:rPr>
          <w:rFonts w:ascii="Arial" w:cs="Arial" w:eastAsia="Arial" w:hAnsi="Arial"/>
          <w:sz w:val="16"/>
          <w:szCs w:val="16"/>
          <w:b w:val="1"/>
          <w:bCs w:val="1"/>
          <w:color w:val="auto"/>
        </w:rPr>
        <w:t xml:space="preserve"> Section 5.08</w:t>
      </w:r>
      <w:r>
        <w:rPr>
          <w:rFonts w:ascii="Arial" w:cs="Arial" w:eastAsia="Arial" w:hAnsi="Arial"/>
          <w:sz w:val="16"/>
          <w:szCs w:val="16"/>
          <w:color w:val="auto"/>
        </w:rPr>
        <w:t>.</w:t>
      </w:r>
    </w:p>
    <w:p>
      <w:pPr>
        <w:sectPr>
          <w:pgSz w:w="11900" w:h="16838" w:orient="portrait"/>
          <w:cols w:equalWidth="0" w:num="1">
            <w:col w:w="11240"/>
          </w:cols>
          <w:pgMar w:left="320" w:top="904" w:right="339" w:bottom="1440" w:gutter="0" w:footer="0" w:header="0"/>
        </w:sectPr>
      </w:pPr>
    </w:p>
    <w:p>
      <w:pPr>
        <w:spacing w:after="0" w:line="149" w:lineRule="exact"/>
        <w:rPr>
          <w:sz w:val="20"/>
          <w:szCs w:val="20"/>
          <w:color w:val="auto"/>
        </w:rPr>
      </w:pPr>
    </w:p>
    <w:p>
      <w:pPr>
        <w:jc w:val="both"/>
        <w:ind w:firstLine="656"/>
        <w:spacing w:after="0" w:line="286" w:lineRule="auto"/>
        <w:tabs>
          <w:tab w:leader="none" w:pos="165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Cessation of Accrual of Interest</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Note from, and including, the date that such Note is deemed, pursuant to this payment or delivery of any cash or other property due on such Note.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firstLine="52"/>
        <w:spacing w:after="0" w:line="347" w:lineRule="auto"/>
        <w:rPr>
          <w:sz w:val="20"/>
          <w:szCs w:val="20"/>
          <w:color w:val="auto"/>
        </w:rPr>
      </w:pPr>
      <w:r>
        <w:rPr>
          <w:rFonts w:ascii="Arial" w:cs="Arial" w:eastAsia="Arial" w:hAnsi="Arial"/>
          <w:sz w:val="16"/>
          <w:szCs w:val="16"/>
          <w:b w:val="1"/>
          <w:bCs w:val="1"/>
          <w:color w:val="auto"/>
        </w:rPr>
        <w:t>Sections 4.02(D)</w:t>
      </w:r>
      <w:r>
        <w:rPr>
          <w:rFonts w:ascii="Arial" w:cs="Arial" w:eastAsia="Arial" w:hAnsi="Arial"/>
          <w:sz w:val="16"/>
          <w:szCs w:val="16"/>
          <w:color w:val="auto"/>
        </w:rPr>
        <w:t>,</w:t>
      </w:r>
      <w:r>
        <w:rPr>
          <w:rFonts w:ascii="Arial" w:cs="Arial" w:eastAsia="Arial" w:hAnsi="Arial"/>
          <w:sz w:val="16"/>
          <w:szCs w:val="16"/>
          <w:b w:val="1"/>
          <w:bCs w:val="1"/>
          <w:color w:val="auto"/>
        </w:rPr>
        <w:t xml:space="preserve"> 4.03(E) </w:t>
      </w:r>
      <w:r>
        <w:rPr>
          <w:rFonts w:ascii="Arial" w:cs="Arial" w:eastAsia="Arial" w:hAnsi="Arial"/>
          <w:sz w:val="16"/>
          <w:szCs w:val="16"/>
          <w:color w:val="auto"/>
        </w:rPr>
        <w:t>or</w:t>
      </w:r>
      <w:r>
        <w:rPr>
          <w:rFonts w:ascii="Arial" w:cs="Arial" w:eastAsia="Arial" w:hAnsi="Arial"/>
          <w:sz w:val="16"/>
          <w:szCs w:val="16"/>
          <w:b w:val="1"/>
          <w:bCs w:val="1"/>
          <w:color w:val="auto"/>
        </w:rPr>
        <w:t xml:space="preserve"> 5.02(D)</w:t>
      </w:r>
      <w:r>
        <w:rPr>
          <w:rFonts w:ascii="Arial" w:cs="Arial" w:eastAsia="Arial" w:hAnsi="Arial"/>
          <w:sz w:val="16"/>
          <w:szCs w:val="16"/>
          <w:color w:val="auto"/>
        </w:rPr>
        <w:t>, interest will cease to accrue on each</w:t>
      </w:r>
      <w:r>
        <w:rPr>
          <w:rFonts w:ascii="Arial" w:cs="Arial" w:eastAsia="Arial" w:hAnsi="Arial"/>
          <w:sz w:val="16"/>
          <w:szCs w:val="16"/>
          <w:b w:val="1"/>
          <w:bCs w:val="1"/>
          <w:color w:val="auto"/>
        </w:rPr>
        <w:t xml:space="preserve"> Section 2.18</w:t>
      </w:r>
      <w:r>
        <w:rPr>
          <w:rFonts w:ascii="Arial" w:cs="Arial" w:eastAsia="Arial" w:hAnsi="Arial"/>
          <w:sz w:val="16"/>
          <w:szCs w:val="16"/>
          <w:color w:val="auto"/>
        </w:rPr>
        <w:t>, to cease to be outstanding, unless there occurs a default in the</w:t>
      </w:r>
    </w:p>
    <w:p>
      <w:pPr>
        <w:spacing w:after="0" w:line="331" w:lineRule="exact"/>
        <w:rPr>
          <w:sz w:val="20"/>
          <w:szCs w:val="20"/>
          <w:color w:val="auto"/>
        </w:rPr>
      </w:pPr>
    </w:p>
    <w:p>
      <w:pPr>
        <w:sectPr>
          <w:pgSz w:w="11900" w:h="16838" w:orient="portrait"/>
          <w:cols w:equalWidth="0" w:num="2">
            <w:col w:w="5680" w:space="0"/>
            <w:col w:w="5560"/>
          </w:cols>
          <w:pgMar w:left="320" w:top="904" w:right="339" w:bottom="1440" w:gutter="0" w:footer="0" w:header="0"/>
          <w:type w:val="continuous"/>
        </w:sectPr>
      </w:pPr>
    </w:p>
    <w:p>
      <w:pPr>
        <w:spacing w:after="0"/>
        <w:tabs>
          <w:tab w:leader="none" w:pos="1180" w:val="left"/>
        </w:tabs>
        <w:rPr>
          <w:sz w:val="20"/>
          <w:szCs w:val="20"/>
          <w:color w:val="auto"/>
        </w:rPr>
      </w:pPr>
      <w:r>
        <w:rPr>
          <w:rFonts w:ascii="Arial" w:cs="Arial" w:eastAsia="Arial" w:hAnsi="Arial"/>
          <w:sz w:val="18"/>
          <w:szCs w:val="18"/>
          <w:b w:val="1"/>
          <w:bCs w:val="1"/>
          <w:color w:val="auto"/>
        </w:rPr>
        <w:t>Section 2.19.</w:t>
        <w:tab/>
        <w:t>R</w:t>
      </w:r>
      <w:r>
        <w:rPr>
          <w:rFonts w:ascii="Arial" w:cs="Arial" w:eastAsia="Arial" w:hAnsi="Arial"/>
          <w:sz w:val="12"/>
          <w:szCs w:val="12"/>
          <w:b w:val="1"/>
          <w:bCs w:val="1"/>
          <w:color w:val="auto"/>
        </w:rPr>
        <w:t>EPURCHASES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2.15</w:t>
      </w:r>
      <w:r>
        <w:rPr>
          <w:rFonts w:ascii="Arial" w:cs="Arial" w:eastAsia="Arial" w:hAnsi="Arial"/>
          <w:sz w:val="18"/>
          <w:szCs w:val="18"/>
          <w:color w:val="auto"/>
        </w:rPr>
        <w:t>, the Company may, from time to time, directly or indirectly repurchase Notes in open market purchases or in negotiated transactions without delivering prior notice to Holders.</w:t>
      </w:r>
    </w:p>
    <w:p>
      <w:pPr>
        <w:spacing w:after="0" w:line="16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2.20.</w:t>
      </w:r>
      <w:r>
        <w:rPr>
          <w:sz w:val="20"/>
          <w:szCs w:val="20"/>
          <w:color w:val="auto"/>
        </w:rPr>
        <w:tab/>
      </w:r>
      <w:r>
        <w:rPr>
          <w:rFonts w:ascii="Arial" w:cs="Arial" w:eastAsia="Arial" w:hAnsi="Arial"/>
          <w:sz w:val="17"/>
          <w:szCs w:val="17"/>
          <w:b w:val="1"/>
          <w:bCs w:val="1"/>
          <w:color w:val="auto"/>
        </w:rPr>
        <w:t xml:space="preserve">CUSIP </w:t>
      </w:r>
      <w:r>
        <w:rPr>
          <w:rFonts w:ascii="Arial" w:cs="Arial" w:eastAsia="Arial" w:hAnsi="Arial"/>
          <w:sz w:val="11"/>
          <w:szCs w:val="11"/>
          <w:b w:val="1"/>
          <w:bCs w:val="1"/>
          <w:color w:val="auto"/>
        </w:rPr>
        <w:t>AND</w:t>
      </w:r>
      <w:r>
        <w:rPr>
          <w:rFonts w:ascii="Arial" w:cs="Arial" w:eastAsia="Arial" w:hAnsi="Arial"/>
          <w:sz w:val="17"/>
          <w:szCs w:val="17"/>
          <w:b w:val="1"/>
          <w:bCs w:val="1"/>
          <w:color w:val="auto"/>
        </w:rPr>
        <w:t xml:space="preserve"> ISIN N</w:t>
      </w:r>
      <w:r>
        <w:rPr>
          <w:rFonts w:ascii="Arial" w:cs="Arial" w:eastAsia="Arial" w:hAnsi="Arial"/>
          <w:sz w:val="11"/>
          <w:szCs w:val="11"/>
          <w:b w:val="1"/>
          <w:bCs w:val="1"/>
          <w:color w:val="auto"/>
        </w:rPr>
        <w:t>UMBERS</w:t>
      </w:r>
      <w:r>
        <w:rPr>
          <w:rFonts w:ascii="Arial" w:cs="Arial" w:eastAsia="Arial" w:hAnsi="Arial"/>
          <w:sz w:val="17"/>
          <w:szCs w:val="17"/>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the Company may use one or more CUSIP or ISIN numbers to identify any of the Notes, and, if so, the Company and the Trustee will use such CUSIP or ISIN number(s) in notices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each such notice will state that no representation is made by the Trustee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6" w:name="page37"/>
    <w:bookmarkEnd w:id="36"/>
    <w:p>
      <w:pPr>
        <w:ind w:left="4500"/>
        <w:spacing w:after="0"/>
        <w:tabs>
          <w:tab w:leader="none" w:pos="560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COVENANTS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3.01.</w:t>
        <w:tab/>
        <w:t>P</w:t>
      </w:r>
      <w:r>
        <w:rPr>
          <w:rFonts w:ascii="Arial" w:cs="Arial" w:eastAsia="Arial" w:hAnsi="Arial"/>
          <w:sz w:val="12"/>
          <w:szCs w:val="12"/>
          <w:b w:val="1"/>
          <w:bCs w:val="1"/>
          <w:color w:val="auto"/>
        </w:rPr>
        <w:t>AYMENT ON</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308" w:lineRule="auto"/>
        <w:tabs>
          <w:tab w:leader="none" w:pos="1523"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Company will pay or cause to be paid all the principal of, the Fundamental Change Repurchase Price and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Price for, interest on, and other amounts due with respect to, the Notes on the dates and in the manner set forth in this Indenture.</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70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Deposit of Funds</w:t>
      </w:r>
      <w:r>
        <w:rPr>
          <w:rFonts w:ascii="Arial" w:cs="Arial" w:eastAsia="Arial" w:hAnsi="Arial"/>
          <w:sz w:val="17"/>
          <w:szCs w:val="17"/>
          <w:color w:val="auto"/>
        </w:rPr>
        <w:t>. Before 11:00 A.M., New York City time, on each Redemption Date, Fundamental Change Repurchase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7"/>
          <w:szCs w:val="17"/>
          <w:b w:val="1"/>
          <w:bCs w:val="1"/>
          <w:color w:val="auto"/>
        </w:rPr>
        <w:t>E</w:t>
      </w:r>
      <w:r>
        <w:rPr>
          <w:rFonts w:ascii="Arial" w:cs="Arial" w:eastAsia="Arial" w:hAnsi="Arial"/>
          <w:sz w:val="11"/>
          <w:szCs w:val="11"/>
          <w:b w:val="1"/>
          <w:bCs w:val="1"/>
          <w:color w:val="auto"/>
        </w:rPr>
        <w:t>XCHANGE</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CT</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EPORTS</w:t>
      </w:r>
      <w:r>
        <w:rPr>
          <w:rFonts w:ascii="Arial" w:cs="Arial" w:eastAsia="Arial" w:hAnsi="Arial"/>
          <w:sz w:val="17"/>
          <w:szCs w:val="17"/>
          <w:b w:val="1"/>
          <w:bCs w:val="1"/>
          <w:color w:val="auto"/>
        </w:rPr>
        <w:t>.</w:t>
      </w:r>
    </w:p>
    <w:p>
      <w:pPr>
        <w:spacing w:after="0" w:line="229" w:lineRule="exact"/>
        <w:rPr>
          <w:sz w:val="20"/>
          <w:szCs w:val="20"/>
          <w:color w:val="auto"/>
        </w:rPr>
      </w:pPr>
    </w:p>
    <w:p>
      <w:pPr>
        <w:jc w:val="both"/>
        <w:ind w:firstLine="656"/>
        <w:spacing w:after="0" w:line="291" w:lineRule="auto"/>
        <w:tabs>
          <w:tab w:leader="none" w:pos="1577"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The Company will send to the Trustee copies of all reports that the Company is required to file with the SEC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13(a) or 15(d) of the Exchange Act within fifteen (15) calendar days after the date that the Company is required to file the same with the SEC (after giving effect to all applicable grace periods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Arial" w:cs="Arial" w:eastAsia="Arial" w:hAnsi="Arial"/>
          <w:sz w:val="16"/>
          <w:szCs w:val="16"/>
          <w:b w:val="1"/>
          <w:bCs w:val="1"/>
          <w:color w:val="auto"/>
        </w:rPr>
        <w:t>Section 3.02(A)</w:t>
      </w:r>
      <w:r>
        <w:rPr>
          <w:rFonts w:ascii="Arial" w:cs="Arial" w:eastAsia="Arial" w:hAnsi="Arial"/>
          <w:sz w:val="16"/>
          <w:szCs w:val="16"/>
          <w:color w:val="auto"/>
        </w:rPr>
        <w:t>, other than a report that is deemed to be sent to the Trustee pursuant to the preceding sentence.</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62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need not determine whether the Company has filed any material via the EDGAR system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successor). The sending or filing of reports pursuant to </w:t>
      </w:r>
      <w:r>
        <w:rPr>
          <w:rFonts w:ascii="Arial" w:cs="Arial" w:eastAsia="Arial" w:hAnsi="Arial"/>
          <w:sz w:val="18"/>
          <w:szCs w:val="18"/>
          <w:b w:val="1"/>
          <w:bCs w:val="1"/>
          <w:color w:val="auto"/>
        </w:rPr>
        <w:t>Section 3.02(A)</w:t>
      </w:r>
      <w:r>
        <w:rPr>
          <w:rFonts w:ascii="Arial" w:cs="Arial" w:eastAsia="Arial" w:hAnsi="Arial"/>
          <w:sz w:val="18"/>
          <w:szCs w:val="18"/>
          <w:color w:val="auto"/>
        </w:rPr>
        <w:t xml:space="preserve"> will not be deemed to constitute constructive notice to the Trustee of any information contained, or determinable from information contained, therein, including the Company’s compliance with any of its covenants under this Indenture (as to which the Trustee is entitled to conclusively rely on an Officer’s Certificate).</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3.03.</w:t>
        <w:tab/>
        <w:t>R</w:t>
      </w:r>
      <w:r>
        <w:rPr>
          <w:rFonts w:ascii="Arial" w:cs="Arial" w:eastAsia="Arial" w:hAnsi="Arial"/>
          <w:sz w:val="12"/>
          <w:szCs w:val="12"/>
          <w:b w:val="1"/>
          <w:bCs w:val="1"/>
          <w:color w:val="auto"/>
        </w:rPr>
        <w:t>ULE</w:t>
      </w:r>
      <w:r>
        <w:rPr>
          <w:rFonts w:ascii="Arial" w:cs="Arial" w:eastAsia="Arial" w:hAnsi="Arial"/>
          <w:sz w:val="18"/>
          <w:szCs w:val="18"/>
          <w:b w:val="1"/>
          <w:bCs w:val="1"/>
          <w:color w:val="auto"/>
        </w:rPr>
        <w:t xml:space="preserve"> 144A 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Company is not subject to Section 13 or 15(d) of the Exchange Act at any time when any Notes or Conversion Shares are outstanding and constitute “restricted securities” (as defined in Rule 144), then the Company (or its successor) will promptly provide, to the Trustee and, upon written request, to any Holder, beneficial owner or prospective purchaser of such Notes or Conversion Shares, the information required to be delivered pursuant to Rule 144A(d)(4) under the Securities Act to facilitate the resale of such Notes or Conversion Shares pursuant to Rule 144A. The Company (or its successor) will take such further action as any Holder or beneficial owner of such Notes or Conversion Shares may reasonably request to enable such Holder or beneficial owner to sell such Notes or Conversion Shares pursuant to Rule 144A.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tabs>
          <w:tab w:leader="none" w:pos="1180" w:val="left"/>
        </w:tabs>
        <w:rPr>
          <w:sz w:val="20"/>
          <w:szCs w:val="20"/>
          <w:color w:val="auto"/>
        </w:rPr>
      </w:pPr>
      <w:r>
        <w:rPr>
          <w:rFonts w:ascii="Arial" w:cs="Arial" w:eastAsia="Arial" w:hAnsi="Arial"/>
          <w:sz w:val="18"/>
          <w:szCs w:val="18"/>
          <w:b w:val="1"/>
          <w:bCs w:val="1"/>
          <w:color w:val="auto"/>
        </w:rPr>
        <w:t>Section 3.04.</w:t>
        <w:tab/>
        <w:t>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Accrual of Additional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4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at any time during the six (6) month period beginning on, and including, the date that is six (6) months after the Last Original Issue Date of any Note,</w:t>
      </w:r>
    </w:p>
    <w:p>
      <w:pPr>
        <w:spacing w:after="0" w:line="170" w:lineRule="exact"/>
        <w:rPr>
          <w:rFonts w:ascii="Arial" w:cs="Arial" w:eastAsia="Arial" w:hAnsi="Arial"/>
          <w:sz w:val="18"/>
          <w:szCs w:val="18"/>
          <w:color w:val="auto"/>
        </w:rPr>
      </w:pPr>
    </w:p>
    <w:p>
      <w:pPr>
        <w:ind w:left="1300" w:firstLine="652"/>
        <w:spacing w:after="0" w:line="308" w:lineRule="auto"/>
        <w:tabs>
          <w:tab w:leader="none" w:pos="290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Company fails to timely file any report (other than Form 8-K reports) that the Company is required to file with the SEC pursuant to Section 13 or 15(d) of the Exchange Act (after giving effect to all applicable grace periods thereunder); or</w:t>
      </w:r>
    </w:p>
    <w:p>
      <w:pPr>
        <w:spacing w:after="0" w:line="146" w:lineRule="exact"/>
        <w:rPr>
          <w:rFonts w:ascii="Arial" w:cs="Arial" w:eastAsia="Arial" w:hAnsi="Arial"/>
          <w:sz w:val="17"/>
          <w:szCs w:val="17"/>
          <w:color w:val="auto"/>
        </w:rPr>
      </w:pPr>
    </w:p>
    <w:p>
      <w:pPr>
        <w:ind w:left="2840" w:hanging="888"/>
        <w:spacing w:after="0"/>
        <w:tabs>
          <w:tab w:leader="none" w:pos="28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such Note is not otherwise Freely Tradable,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then Additional Interest will accrue on such Note for each day during such period on which such failure is continuing or such Note is not Freely Tradable.</w:t>
      </w:r>
    </w:p>
    <w:p>
      <w:pPr>
        <w:spacing w:after="0" w:line="170" w:lineRule="exact"/>
        <w:rPr>
          <w:sz w:val="20"/>
          <w:szCs w:val="20"/>
          <w:color w:val="auto"/>
        </w:rPr>
      </w:pPr>
    </w:p>
    <w:p>
      <w:pPr>
        <w:ind w:left="660" w:firstLine="644"/>
        <w:spacing w:after="0" w:line="277" w:lineRule="auto"/>
        <w:tabs>
          <w:tab w:leader="none" w:pos="22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addition, Additional Interest will accrue on a Note on each day on which such Note is not Freely Tradable on or after the De-Legending Deadline Date of such Note.</w:t>
      </w:r>
    </w:p>
    <w:p>
      <w:pPr>
        <w:spacing w:after="0" w:line="166" w:lineRule="exact"/>
        <w:rPr>
          <w:rFonts w:ascii="Arial" w:cs="Arial" w:eastAsia="Arial" w:hAnsi="Arial"/>
          <w:sz w:val="18"/>
          <w:szCs w:val="18"/>
          <w:color w:val="auto"/>
        </w:rPr>
      </w:pPr>
    </w:p>
    <w:p>
      <w:pPr>
        <w:jc w:val="both"/>
        <w:ind w:firstLine="656"/>
        <w:spacing w:after="0" w:line="291" w:lineRule="auto"/>
        <w:tabs>
          <w:tab w:leader="none" w:pos="1747"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Amount and Payment of Additional Interest</w:t>
      </w:r>
      <w:r>
        <w:rPr>
          <w:rFonts w:ascii="Arial" w:cs="Arial" w:eastAsia="Arial" w:hAnsi="Arial"/>
          <w:sz w:val="16"/>
          <w:szCs w:val="16"/>
          <w:color w:val="auto"/>
        </w:rPr>
        <w:t>. Any Additional Interest that accrues on a Note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3.04(A)</w:t>
      </w:r>
      <w:r>
        <w:rPr>
          <w:rFonts w:ascii="Arial" w:cs="Arial" w:eastAsia="Arial" w:hAnsi="Arial"/>
          <w:sz w:val="16"/>
          <w:szCs w:val="16"/>
          <w:i w:val="1"/>
          <w:iCs w:val="1"/>
          <w:color w:val="auto"/>
        </w:rPr>
        <w:t xml:space="preserve"> </w:t>
      </w:r>
      <w:r>
        <w:rPr>
          <w:rFonts w:ascii="Arial" w:cs="Arial" w:eastAsia="Arial" w:hAnsi="Arial"/>
          <w:sz w:val="16"/>
          <w:szCs w:val="16"/>
          <w:color w:val="auto"/>
        </w:rPr>
        <w:t>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payable on the same 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Additional Interest that may accrue as a result of the Company’s failure to timely file any report (other than Form 8-K reports) that it is required to file with the SEC pursuant to Section 13 or 15(d) of the Exchange Act,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63" w:lineRule="exact"/>
        <w:rPr>
          <w:rFonts w:ascii="Arial" w:cs="Arial" w:eastAsia="Arial" w:hAnsi="Arial"/>
          <w:sz w:val="16"/>
          <w:szCs w:val="16"/>
          <w:color w:val="auto"/>
        </w:rPr>
      </w:pPr>
    </w:p>
    <w:p>
      <w:pPr>
        <w:jc w:val="both"/>
        <w:ind w:firstLine="656"/>
        <w:spacing w:after="0" w:line="255" w:lineRule="auto"/>
        <w:tabs>
          <w:tab w:leader="none" w:pos="159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Notice of Accrual of Additional Interest; Trustee’s Disclaimer</w:t>
      </w:r>
      <w:r>
        <w:rPr>
          <w:rFonts w:ascii="Arial" w:cs="Arial" w:eastAsia="Arial" w:hAnsi="Arial"/>
          <w:sz w:val="18"/>
          <w:szCs w:val="18"/>
          <w:color w:val="auto"/>
        </w:rPr>
        <w:t>. The Company will send notice to the Holder of each Note,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92" w:lineRule="exact"/>
        <w:rPr>
          <w:rFonts w:ascii="Arial" w:cs="Arial" w:eastAsia="Arial" w:hAnsi="Arial"/>
          <w:sz w:val="18"/>
          <w:szCs w:val="18"/>
          <w:color w:val="auto"/>
        </w:rPr>
      </w:pPr>
    </w:p>
    <w:p>
      <w:pPr>
        <w:ind w:left="1620" w:hanging="964"/>
        <w:spacing w:after="0"/>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accrual of Additional Interest will be the exclusive remedy available to Holders for the failure of their Notes to become Freely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Tradable.</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40" w:hanging="111"/>
        <w:spacing w:after="0"/>
        <w:tabs>
          <w:tab w:leader="none" w:pos="55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tabs>
          <w:tab w:leader="none" w:pos="1180" w:val="left"/>
        </w:tabs>
        <w:rPr>
          <w:sz w:val="20"/>
          <w:szCs w:val="20"/>
          <w:color w:val="auto"/>
        </w:rPr>
      </w:pPr>
      <w:r>
        <w:rPr>
          <w:rFonts w:ascii="Arial" w:cs="Arial" w:eastAsia="Arial" w:hAnsi="Arial"/>
          <w:sz w:val="18"/>
          <w:szCs w:val="18"/>
          <w:b w:val="1"/>
          <w:bCs w:val="1"/>
          <w:color w:val="auto"/>
        </w:rPr>
        <w:t>Section 3.05.</w:t>
        <w:tab/>
        <w:t>C</w:t>
      </w:r>
      <w:r>
        <w:rPr>
          <w:rFonts w:ascii="Arial" w:cs="Arial" w:eastAsia="Arial" w:hAnsi="Arial"/>
          <w:sz w:val="12"/>
          <w:szCs w:val="12"/>
          <w:b w:val="1"/>
          <w:bCs w:val="1"/>
          <w:color w:val="auto"/>
        </w:rPr>
        <w:t>OMPLIANCE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3" w:lineRule="auto"/>
        <w:tabs>
          <w:tab w:leader="none" w:pos="1577"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Annual Compliance Certificate</w:t>
      </w:r>
      <w:r>
        <w:rPr>
          <w:rFonts w:ascii="Arial" w:cs="Arial" w:eastAsia="Arial" w:hAnsi="Arial"/>
          <w:sz w:val="17"/>
          <w:szCs w:val="17"/>
          <w:color w:val="auto"/>
        </w:rPr>
        <w:t>. Within one hundred and twenty (120) days after July 31, 2021 and each fiscal year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ending 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a Default or Event of Default has occurred during the previous year or is continuing (and, if so, describing all such Defaults or Events of Default and what action the Company is taking or proposes to take with respect thereto). If the fiscal year of the Company shall, at any time, be other than a calendar year, the Company will give prompt notice thereof to the Trustee.</w:t>
      </w:r>
    </w:p>
    <w:p>
      <w:pPr>
        <w:spacing w:after="0" w:line="177" w:lineRule="exact"/>
        <w:rPr>
          <w:rFonts w:ascii="Arial" w:cs="Arial" w:eastAsia="Arial" w:hAnsi="Arial"/>
          <w:sz w:val="17"/>
          <w:szCs w:val="17"/>
          <w:color w:val="auto"/>
        </w:rPr>
      </w:pPr>
    </w:p>
    <w:p>
      <w:pPr>
        <w:ind w:right="20" w:firstLine="656"/>
        <w:spacing w:after="0" w:line="277" w:lineRule="auto"/>
        <w:tabs>
          <w:tab w:leader="none" w:pos="165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Default Certificate</w:t>
      </w:r>
      <w:r>
        <w:rPr>
          <w:rFonts w:ascii="Arial" w:cs="Arial" w:eastAsia="Arial" w:hAnsi="Arial"/>
          <w:sz w:val="18"/>
          <w:szCs w:val="18"/>
          <w:color w:val="auto"/>
        </w:rPr>
        <w:t>. If a Default or Event of Default occurs, then the Company will promptly deliver an Officer’s Certificate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describing the same and what action the Company is taking or proposes to take with respect thereto.</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7"/>
          <w:szCs w:val="17"/>
          <w:b w:val="1"/>
          <w:bCs w:val="1"/>
          <w:color w:val="auto"/>
        </w:rPr>
        <w:t>S</w:t>
      </w:r>
      <w:r>
        <w:rPr>
          <w:rFonts w:ascii="Arial" w:cs="Arial" w:eastAsia="Arial" w:hAnsi="Arial"/>
          <w:sz w:val="11"/>
          <w:szCs w:val="11"/>
          <w:b w:val="1"/>
          <w:bCs w:val="1"/>
          <w:color w:val="auto"/>
        </w:rPr>
        <w:t>TAY</w:t>
      </w:r>
      <w:r>
        <w:rPr>
          <w:rFonts w:ascii="Arial" w:cs="Arial" w:eastAsia="Arial" w:hAnsi="Arial"/>
          <w:sz w:val="17"/>
          <w:szCs w:val="17"/>
          <w:b w:val="1"/>
          <w:bCs w:val="1"/>
          <w:color w:val="auto"/>
        </w:rPr>
        <w:t>, E</w:t>
      </w:r>
      <w:r>
        <w:rPr>
          <w:rFonts w:ascii="Arial" w:cs="Arial" w:eastAsia="Arial" w:hAnsi="Arial"/>
          <w:sz w:val="11"/>
          <w:szCs w:val="11"/>
          <w:b w:val="1"/>
          <w:bCs w:val="1"/>
          <w:color w:val="auto"/>
        </w:rPr>
        <w:t>XTENSION AND</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SURY</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AWS</w:t>
      </w:r>
      <w:r>
        <w:rPr>
          <w:rFonts w:ascii="Arial" w:cs="Arial" w:eastAsia="Arial" w:hAnsi="Arial"/>
          <w:sz w:val="17"/>
          <w:szCs w:val="17"/>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3.07.</w:t>
        <w:tab/>
        <w:t>N</w:t>
      </w:r>
      <w:r>
        <w:rPr>
          <w:rFonts w:ascii="Arial" w:cs="Arial" w:eastAsia="Arial" w:hAnsi="Arial"/>
          <w:sz w:val="12"/>
          <w:szCs w:val="12"/>
          <w:b w:val="1"/>
          <w:bCs w:val="1"/>
          <w:color w:val="auto"/>
        </w:rPr>
        <w:t>OTES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will as soon as practicable deliver to the Trustee for cancellation all Notes that the Company or any of its Subsidiaries has purchased or otherwise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instead reissue or resell any such Notes so long as such Notes (A) will not constitute “restricted securities” (as defined in Rule 144) upon such reissuance or resale; and (B) will be fungible with all other Notes then outstanding for federal income tax purposes.</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3.08.</w:t>
        <w:tab/>
        <w:t>E</w:t>
      </w:r>
      <w:r>
        <w:rPr>
          <w:rFonts w:ascii="Arial" w:cs="Arial" w:eastAsia="Arial" w:hAnsi="Arial"/>
          <w:sz w:val="12"/>
          <w:szCs w:val="12"/>
          <w:b w:val="1"/>
          <w:bCs w:val="1"/>
          <w:color w:val="auto"/>
        </w:rPr>
        <w:t>XISTENCE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Article 6</w:t>
      </w:r>
      <w:r>
        <w:rPr>
          <w:rFonts w:ascii="Arial" w:cs="Arial" w:eastAsia="Arial" w:hAnsi="Arial"/>
          <w:sz w:val="18"/>
          <w:szCs w:val="18"/>
          <w:color w:val="auto"/>
        </w:rPr>
        <w:t>, the Company will do or cause to be done all things necessary to preserve and keep in full force and effect its corporate existence.</w:t>
      </w:r>
    </w:p>
    <w:p>
      <w:pPr>
        <w:spacing w:after="0" w:line="162" w:lineRule="exact"/>
        <w:rPr>
          <w:sz w:val="20"/>
          <w:szCs w:val="20"/>
          <w:color w:val="auto"/>
        </w:rPr>
      </w:pPr>
    </w:p>
    <w:p>
      <w:pPr>
        <w:ind w:left="3580"/>
        <w:spacing w:after="0"/>
        <w:tabs>
          <w:tab w:leader="none" w:pos="468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8"/>
          <w:szCs w:val="18"/>
          <w:b w:val="1"/>
          <w:bCs w:val="1"/>
          <w:color w:val="auto"/>
        </w:rPr>
        <w:t>REPURCHASE AND REDEMPTION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7"/>
          <w:szCs w:val="17"/>
          <w:b w:val="1"/>
          <w:bCs w:val="1"/>
          <w:color w:val="auto"/>
        </w:rPr>
        <w:t>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INKING</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UND</w:t>
      </w:r>
      <w:r>
        <w:rPr>
          <w:rFonts w:ascii="Arial" w:cs="Arial" w:eastAsia="Arial" w:hAnsi="Arial"/>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sinking fund is required to be provided for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tabs>
          <w:tab w:leader="none" w:pos="1180" w:val="left"/>
        </w:tabs>
        <w:rPr>
          <w:sz w:val="20"/>
          <w:szCs w:val="20"/>
          <w:color w:val="auto"/>
        </w:rPr>
      </w:pPr>
      <w:r>
        <w:rPr>
          <w:rFonts w:ascii="Arial" w:cs="Arial" w:eastAsia="Arial" w:hAnsi="Arial"/>
          <w:sz w:val="18"/>
          <w:szCs w:val="18"/>
          <w:b w:val="1"/>
          <w:bCs w:val="1"/>
          <w:color w:val="auto"/>
        </w:rPr>
        <w:t>Section 4.02.</w:t>
        <w:tab/>
        <w:t>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UPON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712"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Right of Holders to Require the Company to Repurchase Notes Upon a Fundamental Change</w:t>
      </w:r>
      <w:r>
        <w:rPr>
          <w:rFonts w:ascii="Arial" w:cs="Arial" w:eastAsia="Arial" w:hAnsi="Arial"/>
          <w:sz w:val="17"/>
          <w:szCs w:val="17"/>
          <w:color w:val="auto"/>
        </w:rPr>
        <w:t>. Subject to the other terms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4.02</w:t>
      </w:r>
      <w:r>
        <w:rPr>
          <w:rFonts w:ascii="Arial" w:cs="Arial" w:eastAsia="Arial" w:hAnsi="Arial"/>
          <w:sz w:val="17"/>
          <w:szCs w:val="17"/>
          <w:color w:val="auto"/>
        </w:rPr>
        <w:t>, if a Fundamental Change occurs, then each Holder will have the right (the “</w:t>
      </w:r>
      <w:r>
        <w:rPr>
          <w:rFonts w:ascii="Arial" w:cs="Arial" w:eastAsia="Arial" w:hAnsi="Arial"/>
          <w:sz w:val="17"/>
          <w:szCs w:val="17"/>
          <w:b w:val="1"/>
          <w:bCs w:val="1"/>
          <w:color w:val="auto"/>
        </w:rPr>
        <w:t>Fundamental Change Repurchase Right</w:t>
      </w:r>
      <w:r>
        <w:rPr>
          <w:rFonts w:ascii="Arial" w:cs="Arial" w:eastAsia="Arial" w:hAnsi="Arial"/>
          <w:sz w:val="17"/>
          <w:szCs w:val="17"/>
          <w:color w:val="auto"/>
        </w:rPr>
        <w:t>”) to require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repurchase such Holder’s Notes (or any portion thereof in an Authorized Denomination) on the Fundamental Change Repurchase Date for such Fundamental Change for a cash purchase price equal to the Fundamental Change Repurchase Price.</w:t>
      </w:r>
    </w:p>
    <w:p>
      <w:pPr>
        <w:spacing w:after="0" w:line="171" w:lineRule="exact"/>
        <w:rPr>
          <w:rFonts w:ascii="Arial" w:cs="Arial" w:eastAsia="Arial" w:hAnsi="Arial"/>
          <w:sz w:val="17"/>
          <w:szCs w:val="17"/>
          <w:color w:val="auto"/>
        </w:rPr>
      </w:pPr>
    </w:p>
    <w:p>
      <w:pPr>
        <w:jc w:val="both"/>
        <w:ind w:firstLine="656"/>
        <w:spacing w:after="0" w:line="254" w:lineRule="auto"/>
        <w:tabs>
          <w:tab w:leader="none" w:pos="155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Repurchase Prohibited in Certain Circumstances</w:t>
      </w:r>
      <w:r>
        <w:rPr>
          <w:rFonts w:ascii="Arial" w:cs="Arial" w:eastAsia="Arial" w:hAnsi="Arial"/>
          <w:sz w:val="18"/>
          <w:szCs w:val="18"/>
          <w:color w:val="auto"/>
        </w:rPr>
        <w:t>. If the principal amount of the Notes has been accelerated and such acceleration has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been rescinded on or before the Fundamental Change Repurchase Date for a Repurchase Upon Fundamental Change (including as a result of the payment of the related Fundamental Change Repurchase Price, and any related interest pursuant to the proviso to </w:t>
      </w:r>
      <w:r>
        <w:rPr>
          <w:rFonts w:ascii="Arial" w:cs="Arial" w:eastAsia="Arial" w:hAnsi="Arial"/>
          <w:sz w:val="18"/>
          <w:szCs w:val="18"/>
          <w:b w:val="1"/>
          <w:bCs w:val="1"/>
          <w:color w:val="auto"/>
        </w:rPr>
        <w:t>Section 4.02(D)</w:t>
      </w:r>
      <w:r>
        <w:rPr>
          <w:rFonts w:ascii="Arial" w:cs="Arial" w:eastAsia="Arial" w:hAnsi="Arial"/>
          <w:sz w:val="18"/>
          <w:szCs w:val="18"/>
          <w:color w:val="auto"/>
        </w:rPr>
        <w:t xml:space="preserve">, on such Fundamental Change Repurchase Date), then (i) the Company may not repurchase any Notes pursuant to this </w:t>
      </w:r>
      <w:r>
        <w:rPr>
          <w:rFonts w:ascii="Arial" w:cs="Arial" w:eastAsia="Arial" w:hAnsi="Arial"/>
          <w:sz w:val="18"/>
          <w:szCs w:val="18"/>
          <w:b w:val="1"/>
          <w:bCs w:val="1"/>
          <w:color w:val="auto"/>
        </w:rPr>
        <w:t>Section 4.02</w:t>
      </w:r>
      <w:r>
        <w:rPr>
          <w:rFonts w:ascii="Arial" w:cs="Arial" w:eastAsia="Arial" w:hAnsi="Arial"/>
          <w:sz w:val="18"/>
          <w:szCs w:val="18"/>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58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Date</w:t>
      </w:r>
      <w:r>
        <w:rPr>
          <w:rFonts w:ascii="Arial" w:cs="Arial" w:eastAsia="Arial" w:hAnsi="Arial"/>
          <w:sz w:val="18"/>
          <w:szCs w:val="18"/>
          <w:color w:val="auto"/>
        </w:rPr>
        <w:t>. The Fundamental Change Repurchase Date for any Fundamental Change will be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Day of the Company’s choosing that is no more than thirty five (35), nor less than twenty (20), Business Days after the date the Company sends the related Fundamental Change Notice pursuant to </w:t>
      </w:r>
      <w:r>
        <w:rPr>
          <w:rFonts w:ascii="Arial" w:cs="Arial" w:eastAsia="Arial" w:hAnsi="Arial"/>
          <w:sz w:val="18"/>
          <w:szCs w:val="18"/>
          <w:b w:val="1"/>
          <w:bCs w:val="1"/>
          <w:color w:val="auto"/>
        </w:rPr>
        <w:t>Section 4.02(E)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847"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Fundamental Change Repurchase Price</w:t>
      </w:r>
      <w:r>
        <w:rPr>
          <w:rFonts w:ascii="Arial" w:cs="Arial" w:eastAsia="Arial" w:hAnsi="Arial"/>
          <w:sz w:val="16"/>
          <w:szCs w:val="16"/>
          <w:color w:val="auto"/>
        </w:rPr>
        <w:t>. The Fundamental Change Repurchase Price for any Note to be repurchased upon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Arial" w:cs="Arial" w:eastAsia="Arial" w:hAnsi="Arial"/>
          <w:sz w:val="16"/>
          <w:szCs w:val="16"/>
          <w:b w:val="1"/>
          <w:bCs w:val="1"/>
          <w:color w:val="auto"/>
        </w:rPr>
        <w:t>Section 2.05(C)</w:t>
      </w:r>
      <w:r>
        <w:rPr>
          <w:rFonts w:ascii="Arial" w:cs="Arial" w:eastAsia="Arial" w:hAnsi="Arial"/>
          <w:sz w:val="16"/>
          <w:szCs w:val="16"/>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2.05(C)</w:t>
      </w:r>
      <w:r>
        <w:rPr>
          <w:rFonts w:ascii="Arial" w:cs="Arial" w:eastAsia="Arial" w:hAnsi="Arial"/>
          <w:sz w:val="16"/>
          <w:szCs w:val="16"/>
          <w:color w:val="auto"/>
        </w:rPr>
        <w:t>, on the next Business Day to Holders at of the Close of Business on the immediately preceding Regular Record Date; and (y) the Fundamental</w:t>
      </w:r>
      <w:r>
        <w:rPr>
          <w:rFonts w:ascii="Arial" w:cs="Arial" w:eastAsia="Arial" w:hAnsi="Arial"/>
          <w:sz w:val="16"/>
          <w:szCs w:val="16"/>
          <w:b w:val="1"/>
          <w:bCs w:val="1"/>
          <w:color w:val="auto"/>
        </w:rPr>
        <w:t xml:space="preserve"> </w:t>
      </w:r>
      <w:r>
        <w:rPr>
          <w:rFonts w:ascii="Arial" w:cs="Arial" w:eastAsia="Arial" w:hAnsi="Arial"/>
          <w:sz w:val="16"/>
          <w:szCs w:val="16"/>
          <w:color w:val="auto"/>
        </w:rPr>
        <w:t>Change Repurchase Price will include interest on Notes to be repurchased from, and including, such Interest Payment Date.</w:t>
      </w:r>
    </w:p>
    <w:p>
      <w:pPr>
        <w:spacing w:after="0" w:line="389" w:lineRule="exact"/>
        <w:rPr>
          <w:rFonts w:ascii="Arial" w:cs="Arial" w:eastAsia="Arial" w:hAnsi="Arial"/>
          <w:sz w:val="16"/>
          <w:szCs w:val="16"/>
          <w:color w:val="auto"/>
        </w:rPr>
      </w:pPr>
    </w:p>
    <w:p>
      <w:pPr>
        <w:ind w:left="5540" w:hanging="111"/>
        <w:spacing w:after="0"/>
        <w:tabs>
          <w:tab w:leader="none" w:pos="5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56"/>
        <w:spacing w:after="0" w:line="263" w:lineRule="auto"/>
        <w:tabs>
          <w:tab w:leader="none" w:pos="1737"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Fundamental Change Notice</w:t>
      </w:r>
      <w:r>
        <w:rPr>
          <w:rFonts w:ascii="Arial" w:cs="Arial" w:eastAsia="Arial" w:hAnsi="Arial"/>
          <w:sz w:val="18"/>
          <w:szCs w:val="18"/>
          <w:color w:val="auto"/>
        </w:rPr>
        <w:t>. On or before the twentieth (20th) calendar day after the occurrence of a Fundamental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send to each Holder (and to any beneficial owner of a Global Note, if required by applicable law), the Trustee and the Paying Agent a notice of such Fundamental Change (a “</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Fundamental Change Notice must state:</w:t>
      </w:r>
    </w:p>
    <w:p>
      <w:pPr>
        <w:spacing w:after="0" w:line="225" w:lineRule="exact"/>
        <w:rPr>
          <w:sz w:val="20"/>
          <w:szCs w:val="20"/>
          <w:color w:val="auto"/>
        </w:rPr>
      </w:pPr>
    </w:p>
    <w:p>
      <w:pPr>
        <w:ind w:left="2240" w:hanging="936"/>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briefly, the events causing such Fundamental Change;</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 date of such Fundamental Change;</w:t>
      </w:r>
    </w:p>
    <w:p>
      <w:pPr>
        <w:spacing w:after="0" w:line="221" w:lineRule="exact"/>
        <w:rPr>
          <w:rFonts w:ascii="Arial" w:cs="Arial" w:eastAsia="Arial" w:hAnsi="Arial"/>
          <w:sz w:val="18"/>
          <w:szCs w:val="18"/>
          <w:color w:val="auto"/>
        </w:rPr>
      </w:pPr>
    </w:p>
    <w:p>
      <w:pPr>
        <w:jc w:val="both"/>
        <w:ind w:left="660" w:firstLine="644"/>
        <w:spacing w:after="0" w:line="266" w:lineRule="auto"/>
        <w:tabs>
          <w:tab w:leader="none" w:pos="24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procedures that a Holder must follow to require the Company to repurchase its Notes pursuant to this </w:t>
      </w:r>
      <w:r>
        <w:rPr>
          <w:rFonts w:ascii="Arial" w:cs="Arial" w:eastAsia="Arial" w:hAnsi="Arial"/>
          <w:sz w:val="18"/>
          <w:szCs w:val="18"/>
          <w:b w:val="1"/>
          <w:bCs w:val="1"/>
          <w:color w:val="auto"/>
        </w:rPr>
        <w:t>Section 4.02</w:t>
      </w:r>
      <w:r>
        <w:rPr>
          <w:rFonts w:ascii="Arial" w:cs="Arial" w:eastAsia="Arial" w:hAnsi="Arial"/>
          <w:sz w:val="18"/>
          <w:szCs w:val="18"/>
          <w:color w:val="auto"/>
        </w:rPr>
        <w:t>, including the deadline for exercising the Fundamental Change Repurchase Right and the procedures for submitting and withdrawing a Fundamental Change Repurchase Notice;</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Fundamental Change Repurchase Date for such Fundamental Change;</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2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240" w:hanging="936"/>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660" w:firstLine="644"/>
        <w:spacing w:after="0" w:line="308" w:lineRule="auto"/>
        <w:tabs>
          <w:tab w:leader="none" w:pos="23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firstLine="644"/>
        <w:spacing w:after="0" w:line="308" w:lineRule="auto"/>
        <w:tabs>
          <w:tab w:leader="none" w:pos="238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46" w:lineRule="exact"/>
        <w:rPr>
          <w:rFonts w:ascii="Arial" w:cs="Arial" w:eastAsia="Arial" w:hAnsi="Arial"/>
          <w:sz w:val="17"/>
          <w:szCs w:val="17"/>
          <w:color w:val="auto"/>
        </w:rPr>
      </w:pPr>
    </w:p>
    <w:p>
      <w:pPr>
        <w:ind w:left="660" w:firstLine="644"/>
        <w:spacing w:after="0" w:line="308" w:lineRule="auto"/>
        <w:tabs>
          <w:tab w:leader="none" w:pos="2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46" w:lineRule="exact"/>
        <w:rPr>
          <w:rFonts w:ascii="Arial" w:cs="Arial" w:eastAsia="Arial" w:hAnsi="Arial"/>
          <w:sz w:val="17"/>
          <w:szCs w:val="17"/>
          <w:color w:val="auto"/>
        </w:rPr>
      </w:pPr>
    </w:p>
    <w:p>
      <w:pPr>
        <w:ind w:left="2240" w:hanging="936"/>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ind w:left="904" w:hanging="904"/>
        <w:spacing w:after="0"/>
        <w:tabs>
          <w:tab w:leader="none" w:pos="90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Procedures to Exercise the Fundamental Change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4"/>
        <w:spacing w:after="0" w:line="308" w:lineRule="auto"/>
        <w:tabs>
          <w:tab w:leader="none" w:pos="1748"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Delivery of Fundamental Change Repurchase Notice and Notes to Be Repurchased</w:t>
      </w:r>
      <w:r>
        <w:rPr>
          <w:rFonts w:ascii="Arial" w:cs="Arial" w:eastAsia="Arial" w:hAnsi="Arial"/>
          <w:sz w:val="17"/>
          <w:szCs w:val="17"/>
          <w:color w:val="auto"/>
        </w:rPr>
        <w:t>. To exercise its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Right for a Note following a Fundamental Change, the Holder thereof must deliver to the Paying Agent:</w:t>
      </w:r>
    </w:p>
    <w:p>
      <w:pPr>
        <w:spacing w:after="0" w:line="146" w:lineRule="exact"/>
        <w:rPr>
          <w:rFonts w:ascii="Arial" w:cs="Arial" w:eastAsia="Arial" w:hAnsi="Arial"/>
          <w:sz w:val="17"/>
          <w:szCs w:val="17"/>
          <w:color w:val="auto"/>
        </w:rPr>
      </w:pPr>
    </w:p>
    <w:p>
      <w:pPr>
        <w:jc w:val="both"/>
        <w:ind w:left="644" w:firstLine="652"/>
        <w:spacing w:after="0" w:line="263" w:lineRule="auto"/>
        <w:tabs>
          <w:tab w:leader="none" w:pos="2230" w:val="left"/>
        </w:tabs>
        <w:numPr>
          <w:ilvl w:val="2"/>
          <w:numId w:val="42"/>
        </w:numPr>
        <w:rPr>
          <w:rFonts w:ascii="Arial" w:cs="Arial" w:eastAsia="Arial" w:hAnsi="Arial"/>
          <w:sz w:val="18"/>
          <w:szCs w:val="18"/>
          <w:color w:val="auto"/>
        </w:rPr>
      </w:pPr>
      <w:r>
        <w:rPr>
          <w:rFonts w:ascii="Arial" w:cs="Arial" w:eastAsia="Arial" w:hAnsi="Arial"/>
          <w:sz w:val="18"/>
          <w:szCs w:val="18"/>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83" w:lineRule="exact"/>
        <w:rPr>
          <w:rFonts w:ascii="Arial" w:cs="Arial" w:eastAsia="Arial" w:hAnsi="Arial"/>
          <w:sz w:val="18"/>
          <w:szCs w:val="18"/>
          <w:color w:val="auto"/>
        </w:rPr>
      </w:pPr>
    </w:p>
    <w:p>
      <w:pPr>
        <w:ind w:left="2264" w:hanging="968"/>
        <w:spacing w:after="0"/>
        <w:tabs>
          <w:tab w:leader="none" w:pos="2264" w:val="left"/>
        </w:tabs>
        <w:numPr>
          <w:ilvl w:val="2"/>
          <w:numId w:val="42"/>
        </w:numPr>
        <w:rPr>
          <w:rFonts w:ascii="Arial" w:cs="Arial" w:eastAsia="Arial" w:hAnsi="Arial"/>
          <w:sz w:val="16"/>
          <w:szCs w:val="16"/>
          <w:color w:val="auto"/>
        </w:rPr>
      </w:pPr>
      <w:r>
        <w:rPr>
          <w:rFonts w:ascii="Arial" w:cs="Arial" w:eastAsia="Arial" w:hAnsi="Arial"/>
          <w:sz w:val="16"/>
          <w:szCs w:val="16"/>
          <w:color w:val="auto"/>
        </w:rPr>
        <w:t>such Note, duly endorsed for transfer (if such Note is a Physical Note) or by book-entry transfer (if such Note is a</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Global Note).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Paying Agent will promptly deliver to the Company a copy of each Fundamental Change Repurchase Notice that it receives.</w:t>
      </w:r>
    </w:p>
    <w:p>
      <w:pPr>
        <w:spacing w:after="0" w:line="225" w:lineRule="exact"/>
        <w:rPr>
          <w:sz w:val="20"/>
          <w:szCs w:val="20"/>
          <w:color w:val="auto"/>
        </w:rPr>
      </w:pPr>
    </w:p>
    <w:p>
      <w:pPr>
        <w:ind w:left="1544" w:hanging="896"/>
        <w:spacing w:after="0"/>
        <w:tabs>
          <w:tab w:leader="none" w:pos="1544"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Contents of Fundamental Change Repurchase Notices</w:t>
      </w:r>
      <w:r>
        <w:rPr>
          <w:rFonts w:ascii="Arial" w:cs="Arial" w:eastAsia="Arial" w:hAnsi="Arial"/>
          <w:sz w:val="16"/>
          <w:szCs w:val="16"/>
          <w:color w:val="auto"/>
        </w:rPr>
        <w:t>. Each Fundamental Change Repurchase Notice with respect to a Note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must state:</w:t>
      </w:r>
    </w:p>
    <w:p>
      <w:pPr>
        <w:spacing w:after="0" w:line="210" w:lineRule="exact"/>
        <w:rPr>
          <w:rFonts w:ascii="Arial" w:cs="Arial" w:eastAsia="Arial" w:hAnsi="Arial"/>
          <w:sz w:val="16"/>
          <w:szCs w:val="16"/>
          <w:color w:val="auto"/>
        </w:rPr>
      </w:pPr>
    </w:p>
    <w:p>
      <w:pPr>
        <w:ind w:left="2184" w:hanging="888"/>
        <w:spacing w:after="0"/>
        <w:tabs>
          <w:tab w:leader="none" w:pos="21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principal amount of such Note to be repurchased, which must be an Authorized Denomination; and</w:t>
      </w:r>
    </w:p>
    <w:p>
      <w:pPr>
        <w:spacing w:after="0" w:line="225" w:lineRule="exact"/>
        <w:rPr>
          <w:rFonts w:ascii="Arial" w:cs="Arial" w:eastAsia="Arial" w:hAnsi="Arial"/>
          <w:sz w:val="18"/>
          <w:szCs w:val="18"/>
          <w:color w:val="auto"/>
        </w:rPr>
      </w:pPr>
    </w:p>
    <w:p>
      <w:pPr>
        <w:ind w:left="2284" w:hanging="988"/>
        <w:spacing w:after="0"/>
        <w:tabs>
          <w:tab w:leader="none" w:pos="2284"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that such Holder is exercising its Fundamental Change Repurchase Right with respect to such principal amount of</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such Note;</w:t>
      </w:r>
    </w:p>
    <w:p>
      <w:pPr>
        <w:spacing w:after="0" w:line="21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Note is a Global Note, then such Fundamental Change Repurchase Notice must comply with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Procedures (and any such Fundamental Change Repurchase Notice delivered in compliance with the Depositary Procedures will be deemed to satisfy the requirements of this </w:t>
      </w:r>
      <w:r>
        <w:rPr>
          <w:rFonts w:ascii="Arial" w:cs="Arial" w:eastAsia="Arial" w:hAnsi="Arial"/>
          <w:sz w:val="18"/>
          <w:szCs w:val="18"/>
          <w:b w:val="1"/>
          <w:bCs w:val="1"/>
          <w:color w:val="auto"/>
        </w:rPr>
        <w:t>Section 4.02(F)</w:t>
      </w:r>
      <w:r>
        <w:rPr>
          <w:rFonts w:ascii="Arial" w:cs="Arial" w:eastAsia="Arial" w:hAnsi="Arial"/>
          <w:sz w:val="18"/>
          <w:szCs w:val="18"/>
          <w:color w:val="auto"/>
        </w:rPr>
        <w:t>).</w:t>
      </w:r>
    </w:p>
    <w:p>
      <w:pPr>
        <w:spacing w:after="0" w:line="184" w:lineRule="exact"/>
        <w:rPr>
          <w:sz w:val="20"/>
          <w:szCs w:val="20"/>
          <w:color w:val="auto"/>
        </w:rPr>
      </w:pPr>
    </w:p>
    <w:p>
      <w:pPr>
        <w:jc w:val="both"/>
        <w:ind w:left="4" w:firstLine="644"/>
        <w:spacing w:after="0" w:line="259" w:lineRule="auto"/>
        <w:tabs>
          <w:tab w:leader="none" w:pos="165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Withdrawal of Fundamental Change Repurchase Notice</w:t>
      </w:r>
      <w:r>
        <w:rPr>
          <w:rFonts w:ascii="Arial" w:cs="Arial" w:eastAsia="Arial" w:hAnsi="Arial"/>
          <w:sz w:val="18"/>
          <w:szCs w:val="18"/>
          <w:color w:val="auto"/>
        </w:rPr>
        <w:t>. A Holder that has delivered a Fundamental Change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6" w:lineRule="exact"/>
        <w:rPr>
          <w:rFonts w:ascii="Arial" w:cs="Arial" w:eastAsia="Arial" w:hAnsi="Arial"/>
          <w:sz w:val="18"/>
          <w:szCs w:val="18"/>
          <w:color w:val="auto"/>
        </w:rPr>
      </w:pPr>
    </w:p>
    <w:p>
      <w:pPr>
        <w:ind w:left="2184" w:hanging="888"/>
        <w:spacing w:after="0"/>
        <w:tabs>
          <w:tab w:leader="none" w:pos="21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principal amount of such Note to be withdrawn, which must be an Authorized Denomination; and</w:t>
      </w:r>
    </w:p>
    <w:p>
      <w:pPr>
        <w:spacing w:after="0" w:line="225" w:lineRule="exact"/>
        <w:rPr>
          <w:rFonts w:ascii="Arial" w:cs="Arial" w:eastAsia="Arial" w:hAnsi="Arial"/>
          <w:sz w:val="18"/>
          <w:szCs w:val="18"/>
          <w:color w:val="auto"/>
        </w:rPr>
      </w:pPr>
    </w:p>
    <w:p>
      <w:pPr>
        <w:ind w:left="644" w:right="20" w:firstLine="652"/>
        <w:spacing w:after="0" w:line="277" w:lineRule="auto"/>
        <w:tabs>
          <w:tab w:leader="none" w:pos="23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principal amount of such Note, if any, that remains subject to such Fundamental Change Repurchase Notice, which must be an Authorized Denomination;</w:t>
      </w:r>
    </w:p>
    <w:p>
      <w:pPr>
        <w:spacing w:after="0" w:line="170" w:lineRule="exact"/>
        <w:rPr>
          <w:sz w:val="20"/>
          <w:szCs w:val="20"/>
          <w:color w:val="auto"/>
        </w:rPr>
      </w:pPr>
    </w:p>
    <w:p>
      <w:pPr>
        <w:ind w:left="4"/>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such Note is a Global Note, then such withdrawal notice must comply with the Depositary Procedures (and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withdrawal notice delivered in compliance with the Depositary Procedures will be deemed to satisfy the requirements of this </w:t>
      </w:r>
      <w:r>
        <w:rPr>
          <w:rFonts w:ascii="Arial" w:cs="Arial" w:eastAsia="Arial" w:hAnsi="Arial"/>
          <w:sz w:val="16"/>
          <w:szCs w:val="16"/>
          <w:b w:val="1"/>
          <w:bCs w:val="1"/>
          <w:color w:val="auto"/>
        </w:rPr>
        <w:t>Section 4.02(F)</w:t>
      </w:r>
      <w:r>
        <w:rPr>
          <w:rFonts w:ascii="Arial" w:cs="Arial" w:eastAsia="Arial" w:hAnsi="Arial"/>
          <w:sz w:val="16"/>
          <w:szCs w:val="16"/>
          <w:color w:val="auto"/>
        </w:rPr>
        <w:t>).</w:t>
      </w:r>
    </w:p>
    <w:p>
      <w:pPr>
        <w:spacing w:after="0" w:line="340"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2" w:name="page43"/>
    <w:bookmarkEnd w:id="42"/>
    <w:p>
      <w:pPr>
        <w:jc w:val="both"/>
        <w:ind w:left="4"/>
        <w:spacing w:after="0" w:line="255" w:lineRule="auto"/>
        <w:rPr>
          <w:sz w:val="20"/>
          <w:szCs w:val="20"/>
          <w:color w:val="auto"/>
        </w:rPr>
      </w:pPr>
      <w:r>
        <w:rPr>
          <w:rFonts w:ascii="Arial" w:cs="Arial" w:eastAsia="Arial" w:hAnsi="Arial"/>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Arial" w:cs="Arial" w:eastAsia="Arial" w:hAnsi="Arial"/>
          <w:sz w:val="18"/>
          <w:szCs w:val="18"/>
          <w:b w:val="1"/>
          <w:bCs w:val="1"/>
          <w:color w:val="auto"/>
        </w:rPr>
        <w:t>Section 2.11</w:t>
      </w:r>
      <w:r>
        <w:rPr>
          <w:rFonts w:ascii="Arial" w:cs="Arial" w:eastAsia="Arial" w:hAnsi="Arial"/>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92" w:lineRule="exact"/>
        <w:rPr>
          <w:sz w:val="20"/>
          <w:szCs w:val="20"/>
          <w:color w:val="auto"/>
        </w:rPr>
      </w:pPr>
    </w:p>
    <w:p>
      <w:pPr>
        <w:jc w:val="both"/>
        <w:ind w:left="-656" w:firstLine="656"/>
        <w:spacing w:after="0" w:line="290" w:lineRule="auto"/>
        <w:tabs>
          <w:tab w:leader="none" w:pos="1114"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Payment of the Fundamental Change Repurchase Price</w:t>
      </w:r>
      <w:r>
        <w:rPr>
          <w:rFonts w:ascii="Arial" w:cs="Arial" w:eastAsia="Arial" w:hAnsi="Arial"/>
          <w:sz w:val="16"/>
          <w:szCs w:val="16"/>
          <w:color w:val="auto"/>
        </w:rPr>
        <w:t>. Without limiting the Company’s obligation to deposit the Fundamental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Change Repurchase Price within the time proscribed by </w:t>
      </w:r>
      <w:r>
        <w:rPr>
          <w:rFonts w:ascii="Arial" w:cs="Arial" w:eastAsia="Arial" w:hAnsi="Arial"/>
          <w:sz w:val="16"/>
          <w:szCs w:val="16"/>
          <w:b w:val="1"/>
          <w:bCs w:val="1"/>
          <w:color w:val="auto"/>
        </w:rPr>
        <w:t>Section 3.01(B)</w:t>
      </w:r>
      <w:r>
        <w:rPr>
          <w:rFonts w:ascii="Arial" w:cs="Arial" w:eastAsia="Arial" w:hAnsi="Arial"/>
          <w:sz w:val="16"/>
          <w:szCs w:val="16"/>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Arial" w:cs="Arial" w:eastAsia="Arial" w:hAnsi="Arial"/>
          <w:sz w:val="16"/>
          <w:szCs w:val="16"/>
          <w:b w:val="1"/>
          <w:bCs w:val="1"/>
          <w:color w:val="auto"/>
        </w:rPr>
        <w:t>Section 4.02(D)</w:t>
      </w:r>
      <w:r>
        <w:rPr>
          <w:rFonts w:ascii="Arial" w:cs="Arial" w:eastAsia="Arial" w:hAnsi="Arial"/>
          <w:sz w:val="16"/>
          <w:szCs w:val="16"/>
          <w:color w:val="auto"/>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Arial" w:cs="Arial" w:eastAsia="Arial" w:hAnsi="Arial"/>
          <w:sz w:val="16"/>
          <w:szCs w:val="16"/>
          <w:b w:val="1"/>
          <w:bCs w:val="1"/>
          <w:color w:val="auto"/>
        </w:rPr>
        <w:t>Section 4.02(G)</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656" w:firstLine="656"/>
        <w:spacing w:after="0" w:line="261" w:lineRule="auto"/>
        <w:tabs>
          <w:tab w:leader="none" w:pos="826"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Third Party May Conduct Repurchase Offer In Lieu of the Company</w:t>
      </w:r>
      <w:r>
        <w:rPr>
          <w:rFonts w:ascii="Arial" w:cs="Arial" w:eastAsia="Arial" w:hAnsi="Arial"/>
          <w:sz w:val="18"/>
          <w:szCs w:val="18"/>
          <w:color w:val="auto"/>
        </w:rPr>
        <w:t>. Notwithstanding anything to the contrary in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will be deemed to satisfy its obligations under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if one or more third parties conduct any Repurchase Upon Fundamental Change and related offer to repurchase Notes otherwise required by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in a manner that would have satisfied the requirements of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if conducted directly by the Company.</w:t>
      </w:r>
    </w:p>
    <w:p>
      <w:pPr>
        <w:spacing w:after="0" w:line="183" w:lineRule="exact"/>
        <w:rPr>
          <w:rFonts w:ascii="Arial" w:cs="Arial" w:eastAsia="Arial" w:hAnsi="Arial"/>
          <w:sz w:val="18"/>
          <w:szCs w:val="18"/>
          <w:color w:val="auto"/>
        </w:rPr>
      </w:pPr>
    </w:p>
    <w:p>
      <w:pPr>
        <w:jc w:val="both"/>
        <w:ind w:left="-656" w:firstLine="656"/>
        <w:spacing w:after="0" w:line="288" w:lineRule="auto"/>
        <w:tabs>
          <w:tab w:leader="none" w:pos="891"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No Requirement to Conduct an Offer to Repurchase Notes if the Fundamental Change Results in the Notes Becoming Convertible into an Amount of Cash Exceeding the Fundamental Change Repurchase Price</w:t>
      </w:r>
      <w:r>
        <w:rPr>
          <w:rFonts w:ascii="Arial" w:cs="Arial" w:eastAsia="Arial" w:hAnsi="Arial"/>
          <w:sz w:val="16"/>
          <w:szCs w:val="16"/>
          <w:color w:val="auto"/>
        </w:rPr>
        <w:t>. Notwithstanding anything to the contrary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4.02</w:t>
      </w:r>
      <w:r>
        <w:rPr>
          <w:rFonts w:ascii="Arial" w:cs="Arial" w:eastAsia="Arial" w:hAnsi="Arial"/>
          <w:sz w:val="16"/>
          <w:szCs w:val="16"/>
          <w:color w:val="auto"/>
        </w:rPr>
        <w: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not be required to send a Fundamental Change Notice pursuant to </w:t>
      </w:r>
      <w:r>
        <w:rPr>
          <w:rFonts w:ascii="Arial" w:cs="Arial" w:eastAsia="Arial" w:hAnsi="Arial"/>
          <w:sz w:val="16"/>
          <w:szCs w:val="16"/>
          <w:b w:val="1"/>
          <w:bCs w:val="1"/>
          <w:color w:val="auto"/>
        </w:rPr>
        <w:t>Section 4.02(E)</w:t>
      </w:r>
      <w:r>
        <w:rPr>
          <w:rFonts w:ascii="Arial" w:cs="Arial" w:eastAsia="Arial" w:hAnsi="Arial"/>
          <w:sz w:val="16"/>
          <w:szCs w:val="16"/>
          <w:color w:val="auto"/>
        </w:rPr>
        <w:t xml:space="preserve">, or offer to repurchase or repurchase any Notes pursuant to this </w:t>
      </w:r>
      <w:r>
        <w:rPr>
          <w:rFonts w:ascii="Arial" w:cs="Arial" w:eastAsia="Arial" w:hAnsi="Arial"/>
          <w:sz w:val="16"/>
          <w:szCs w:val="16"/>
          <w:b w:val="1"/>
          <w:bCs w:val="1"/>
          <w:color w:val="auto"/>
        </w:rPr>
        <w:t>Section 4.02</w:t>
      </w:r>
      <w:r>
        <w:rPr>
          <w:rFonts w:ascii="Arial" w:cs="Arial" w:eastAsia="Arial" w:hAnsi="Arial"/>
          <w:sz w:val="16"/>
          <w:szCs w:val="16"/>
          <w:color w:val="auto"/>
        </w:rPr>
        <w:t>, in connection with a Fundamental Change occurring pursuant to clause (B)(ii) (or pursuant to clause (A) that also constitutes a Fundamental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Change occurring pursuant to clause (B)(ii)) of the definition thereof, if (i) such Fundamental Change constitutes a Common Stock Change Event whose Reference Property consists entirely of cash in U.S. dollars; (ii) immediately after such Fundamental Change, the Notes become convertible, pursuant to </w:t>
      </w:r>
      <w:r>
        <w:rPr>
          <w:rFonts w:ascii="Arial" w:cs="Arial" w:eastAsia="Arial" w:hAnsi="Arial"/>
          <w:sz w:val="16"/>
          <w:szCs w:val="16"/>
          <w:b w:val="1"/>
          <w:bCs w:val="1"/>
          <w:color w:val="auto"/>
        </w:rPr>
        <w:t xml:space="preserve">Section 5.09(A) </w:t>
      </w:r>
      <w:r>
        <w:rPr>
          <w:rFonts w:ascii="Arial" w:cs="Arial" w:eastAsia="Arial" w:hAnsi="Arial"/>
          <w:sz w:val="16"/>
          <w:szCs w:val="16"/>
          <w:color w:val="auto"/>
        </w:rPr>
        <w:t>and, if applicable,</w:t>
      </w:r>
      <w:r>
        <w:rPr>
          <w:rFonts w:ascii="Arial" w:cs="Arial" w:eastAsia="Arial" w:hAnsi="Arial"/>
          <w:sz w:val="16"/>
          <w:szCs w:val="16"/>
          <w:b w:val="1"/>
          <w:bCs w:val="1"/>
          <w:color w:val="auto"/>
        </w:rPr>
        <w:t xml:space="preserve"> Section 5.07</w:t>
      </w:r>
      <w:r>
        <w:rPr>
          <w:rFonts w:ascii="Arial" w:cs="Arial" w:eastAsia="Arial" w:hAnsi="Arial"/>
          <w:sz w:val="16"/>
          <w:szCs w:val="16"/>
          <w:color w:val="auto"/>
        </w:rPr>
        <w:t>, into consideration that consists solely of U.S. dollars in an amount per $1,000 aggregate principal amount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Notes 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Arial" w:cs="Arial" w:eastAsia="Arial" w:hAnsi="Arial"/>
          <w:sz w:val="16"/>
          <w:szCs w:val="16"/>
          <w:b w:val="1"/>
          <w:bCs w:val="1"/>
          <w:color w:val="auto"/>
        </w:rPr>
        <w:t>Section 5.01(C)(i)(3)(b)</w:t>
      </w:r>
      <w:r>
        <w:rPr>
          <w:rFonts w:ascii="Arial" w:cs="Arial" w:eastAsia="Arial" w:hAnsi="Arial"/>
          <w:sz w:val="16"/>
          <w:szCs w:val="16"/>
          <w:color w:val="auto"/>
        </w:rPr>
        <w:t>.</w:t>
      </w:r>
    </w:p>
    <w:p>
      <w:pPr>
        <w:spacing w:after="0" w:line="384" w:lineRule="exact"/>
        <w:rPr>
          <w:rFonts w:ascii="Arial" w:cs="Arial" w:eastAsia="Arial" w:hAnsi="Arial"/>
          <w:sz w:val="16"/>
          <w:szCs w:val="16"/>
          <w:color w:val="auto"/>
        </w:rPr>
      </w:pPr>
    </w:p>
    <w:p>
      <w:pPr>
        <w:ind w:left="4884" w:hanging="111"/>
        <w:spacing w:after="0"/>
        <w:tabs>
          <w:tab w:leader="none" w:pos="48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3" w:name="page44"/>
    <w:bookmarkEnd w:id="43"/>
    <w:p>
      <w:pPr>
        <w:jc w:val="both"/>
        <w:ind w:firstLine="656"/>
        <w:spacing w:after="0" w:line="255" w:lineRule="auto"/>
        <w:tabs>
          <w:tab w:leader="none" w:pos="175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Compliance with Applicable Securities Laws</w:t>
      </w:r>
      <w:r>
        <w:rPr>
          <w:rFonts w:ascii="Arial" w:cs="Arial" w:eastAsia="Arial" w:hAnsi="Arial"/>
          <w:sz w:val="18"/>
          <w:szCs w:val="18"/>
          <w:color w:val="auto"/>
        </w:rPr>
        <w:t>. To the extent applicable, the Company will comply with all U.S. federal and state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to the extent that the Company’s obligations pursuant to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188" w:lineRule="exact"/>
        <w:rPr>
          <w:rFonts w:ascii="Arial" w:cs="Arial" w:eastAsia="Arial" w:hAnsi="Arial"/>
          <w:sz w:val="18"/>
          <w:szCs w:val="18"/>
          <w:color w:val="auto"/>
        </w:rPr>
      </w:pPr>
    </w:p>
    <w:p>
      <w:pPr>
        <w:jc w:val="both"/>
        <w:ind w:firstLine="656"/>
        <w:spacing w:after="0" w:line="266" w:lineRule="auto"/>
        <w:tabs>
          <w:tab w:leader="none" w:pos="154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Repurchase in Part</w:t>
      </w:r>
      <w:r>
        <w:rPr>
          <w:rFonts w:ascii="Arial" w:cs="Arial" w:eastAsia="Arial" w:hAnsi="Arial"/>
          <w:sz w:val="18"/>
          <w:szCs w:val="18"/>
          <w:color w:val="auto"/>
        </w:rPr>
        <w:t>. Subject to the terms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Notes may be repurchased pursuant to a Repurchase Upon Fundamental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in part, but only in Authorized Denominations. Provisions of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applying to the repurchase of a Note in whole will equally apply to the repurchase of a permitted portion of a Note.</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4.03.</w:t>
        <w:tab/>
        <w:t>O</w:t>
      </w:r>
      <w:r>
        <w:rPr>
          <w:rFonts w:ascii="Arial" w:cs="Arial" w:eastAsia="Arial" w:hAnsi="Arial"/>
          <w:sz w:val="12"/>
          <w:szCs w:val="12"/>
          <w:b w:val="1"/>
          <w:bCs w:val="1"/>
          <w:color w:val="auto"/>
        </w:rPr>
        <w:t>PTIONAL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EDEMPTION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ind w:left="1540" w:hanging="884"/>
        <w:spacing w:after="0"/>
        <w:tabs>
          <w:tab w:leader="none" w:pos="154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No Right to Redeem Before June 15, 2024</w:t>
      </w:r>
      <w:r>
        <w:rPr>
          <w:rFonts w:ascii="Arial" w:cs="Arial" w:eastAsia="Arial" w:hAnsi="Arial"/>
          <w:sz w:val="16"/>
          <w:szCs w:val="16"/>
          <w:color w:val="auto"/>
        </w:rPr>
        <w:t>. The Company may not redeem the Notes at its option at any time before June 15, 2024.</w:t>
      </w:r>
    </w:p>
    <w:p>
      <w:pPr>
        <w:spacing w:after="0" w:line="244" w:lineRule="exact"/>
        <w:rPr>
          <w:rFonts w:ascii="Arial" w:cs="Arial" w:eastAsia="Arial" w:hAnsi="Arial"/>
          <w:sz w:val="16"/>
          <w:szCs w:val="16"/>
          <w:color w:val="auto"/>
        </w:rPr>
      </w:pPr>
    </w:p>
    <w:p>
      <w:pPr>
        <w:jc w:val="both"/>
        <w:ind w:firstLine="656"/>
        <w:spacing w:after="0" w:line="269" w:lineRule="auto"/>
        <w:tabs>
          <w:tab w:leader="none" w:pos="1724"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Right to Redeem the Notes on or After June 15, 2024</w:t>
      </w:r>
      <w:r>
        <w:rPr>
          <w:rFonts w:ascii="Arial" w:cs="Arial" w:eastAsia="Arial" w:hAnsi="Arial"/>
          <w:sz w:val="17"/>
          <w:szCs w:val="17"/>
          <w:color w:val="auto"/>
        </w:rPr>
        <w:t>. Subject to the terms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4.03</w:t>
      </w:r>
      <w:r>
        <w:rPr>
          <w:rFonts w:ascii="Arial" w:cs="Arial" w:eastAsia="Arial" w:hAnsi="Arial"/>
          <w:sz w:val="17"/>
          <w:szCs w:val="17"/>
          <w:color w:val="auto"/>
        </w:rPr>
        <w:t>, the Company has the right, 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election, to redeem all, or any portion in an Authorized Denomination, of the Notes, at any time, and from time to time, on a Redemption Date on or after June 15, 2024 and on or before the twenty-fifth (25th) Scheduled Trading Day immediately before the Maturity Date, for a cash purchase price equal to the Redemption Price, but only if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the Redemption Notice Date for such Redemption; and (y) the Trading Day immediately before such Redemption Notice Date. However, the Company will not call less than all of the outstanding Notes for Redemption unless the excess of the principal amount of Notes outstanding as of the time the Company send the related Redemption Notice over the aggregate principal amount of Notes set forth in such Redemption Notice as being subject to Redemption is at least fifty million dollars ($50,000,000). For the avoidance of doubt, the calling of any Notes for Redemption will constitute a Make-Whole Fundamental Change only with respect to such Notes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of the definition thereof and not with respect to the Notes not called (or deemed called) for Redemption.</w:t>
      </w:r>
    </w:p>
    <w:p>
      <w:pPr>
        <w:spacing w:after="0" w:line="185" w:lineRule="exact"/>
        <w:rPr>
          <w:rFonts w:ascii="Arial" w:cs="Arial" w:eastAsia="Arial" w:hAnsi="Arial"/>
          <w:sz w:val="17"/>
          <w:szCs w:val="17"/>
          <w:color w:val="auto"/>
        </w:rPr>
      </w:pPr>
    </w:p>
    <w:p>
      <w:pPr>
        <w:jc w:val="both"/>
        <w:ind w:firstLine="656"/>
        <w:spacing w:after="0" w:line="273" w:lineRule="auto"/>
        <w:tabs>
          <w:tab w:leader="none" w:pos="1544"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Redemption Prohibited in Certain Circumstances</w:t>
      </w:r>
      <w:r>
        <w:rPr>
          <w:rFonts w:ascii="Arial" w:cs="Arial" w:eastAsia="Arial" w:hAnsi="Arial"/>
          <w:sz w:val="17"/>
          <w:szCs w:val="17"/>
          <w:color w:val="auto"/>
        </w:rPr>
        <w:t>. If the principal amount of the Notes has been accelerated and such acceleration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 been rescinded on or before the Redemption Date (including as a result of the payment of the related Redemption Price, and any related interest pursuant to the proviso to </w:t>
      </w:r>
      <w:r>
        <w:rPr>
          <w:rFonts w:ascii="Arial" w:cs="Arial" w:eastAsia="Arial" w:hAnsi="Arial"/>
          <w:sz w:val="17"/>
          <w:szCs w:val="17"/>
          <w:b w:val="1"/>
          <w:bCs w:val="1"/>
          <w:color w:val="auto"/>
        </w:rPr>
        <w:t>Section 4.03(E)</w:t>
      </w:r>
      <w:r>
        <w:rPr>
          <w:rFonts w:ascii="Arial" w:cs="Arial" w:eastAsia="Arial" w:hAnsi="Arial"/>
          <w:sz w:val="17"/>
          <w:szCs w:val="17"/>
          <w:color w:val="auto"/>
        </w:rPr>
        <w:t xml:space="preserve">, on such Redemption Date), then (i) the Company may not call for Redemption or otherwise redeem any Notes pursuant to this </w:t>
      </w:r>
      <w:r>
        <w:rPr>
          <w:rFonts w:ascii="Arial" w:cs="Arial" w:eastAsia="Arial" w:hAnsi="Arial"/>
          <w:sz w:val="17"/>
          <w:szCs w:val="17"/>
          <w:b w:val="1"/>
          <w:bCs w:val="1"/>
          <w:color w:val="auto"/>
        </w:rPr>
        <w:t>Section 4.03</w:t>
      </w:r>
      <w:r>
        <w:rPr>
          <w:rFonts w:ascii="Arial" w:cs="Arial" w:eastAsia="Arial" w:hAnsi="Arial"/>
          <w:sz w:val="17"/>
          <w:szCs w:val="17"/>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393" w:lineRule="exact"/>
        <w:rPr>
          <w:rFonts w:ascii="Arial" w:cs="Arial" w:eastAsia="Arial" w:hAnsi="Arial"/>
          <w:sz w:val="17"/>
          <w:szCs w:val="17"/>
          <w:color w:val="auto"/>
        </w:rPr>
      </w:pPr>
    </w:p>
    <w:p>
      <w:pPr>
        <w:ind w:left="5540" w:hanging="111"/>
        <w:spacing w:after="0"/>
        <w:tabs>
          <w:tab w:leader="none" w:pos="5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656" w:firstLine="656"/>
        <w:spacing w:after="0" w:line="277" w:lineRule="auto"/>
        <w:tabs>
          <w:tab w:leader="none" w:pos="898"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Redemption Date</w:t>
      </w:r>
      <w:r>
        <w:rPr>
          <w:rFonts w:ascii="Arial" w:cs="Arial" w:eastAsia="Arial" w:hAnsi="Arial"/>
          <w:sz w:val="18"/>
          <w:szCs w:val="18"/>
          <w:color w:val="auto"/>
        </w:rPr>
        <w:t>. The Redemption Date for any Redemption will be a Business Day of the Company’s choosing that is no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fifty (50), nor less than thirty (30), Scheduled Trading Days after the Redemption Notice Date for such Redemption .</w:t>
      </w:r>
    </w:p>
    <w:p>
      <w:pPr>
        <w:spacing w:after="0" w:line="170" w:lineRule="exact"/>
        <w:rPr>
          <w:rFonts w:ascii="Arial" w:cs="Arial" w:eastAsia="Arial" w:hAnsi="Arial"/>
          <w:sz w:val="18"/>
          <w:szCs w:val="18"/>
          <w:color w:val="auto"/>
        </w:rPr>
      </w:pPr>
    </w:p>
    <w:p>
      <w:pPr>
        <w:jc w:val="both"/>
        <w:ind w:left="-656" w:firstLine="656"/>
        <w:spacing w:after="0" w:line="287" w:lineRule="auto"/>
        <w:tabs>
          <w:tab w:leader="none" w:pos="977"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Redemption Price</w:t>
      </w:r>
      <w:r>
        <w:rPr>
          <w:rFonts w:ascii="Arial" w:cs="Arial" w:eastAsia="Arial" w:hAnsi="Arial"/>
          <w:sz w:val="16"/>
          <w:szCs w:val="16"/>
          <w:color w:val="auto"/>
        </w:rPr>
        <w:t>. The Redemption Price for any Note called for Redemption is an amount in cash equal to the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Note plus accrued and unpaid interest on such Note to, but excluding, the Redemption Date for such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Arial" w:cs="Arial" w:eastAsia="Arial" w:hAnsi="Arial"/>
          <w:sz w:val="16"/>
          <w:szCs w:val="16"/>
          <w:b w:val="1"/>
          <w:bCs w:val="1"/>
          <w:color w:val="auto"/>
        </w:rPr>
        <w:t>Section 2.05(C)</w:t>
      </w:r>
      <w:r>
        <w:rPr>
          <w:rFonts w:ascii="Arial" w:cs="Arial" w:eastAsia="Arial" w:hAnsi="Arial"/>
          <w:sz w:val="16"/>
          <w:szCs w:val="16"/>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Arial" w:cs="Arial" w:eastAsia="Arial" w:hAnsi="Arial"/>
          <w:sz w:val="16"/>
          <w:szCs w:val="16"/>
          <w:b w:val="1"/>
          <w:bCs w:val="1"/>
          <w:color w:val="auto"/>
        </w:rPr>
        <w:t>Section 2.05(C)</w:t>
      </w:r>
      <w:r>
        <w:rPr>
          <w:rFonts w:ascii="Arial" w:cs="Arial" w:eastAsia="Arial" w:hAnsi="Arial"/>
          <w:sz w:val="16"/>
          <w:szCs w:val="16"/>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171" w:lineRule="exact"/>
        <w:rPr>
          <w:rFonts w:ascii="Arial" w:cs="Arial" w:eastAsia="Arial" w:hAnsi="Arial"/>
          <w:sz w:val="16"/>
          <w:szCs w:val="16"/>
          <w:color w:val="auto"/>
        </w:rPr>
      </w:pPr>
    </w:p>
    <w:p>
      <w:pPr>
        <w:jc w:val="both"/>
        <w:ind w:left="-656" w:firstLine="656"/>
        <w:spacing w:after="0" w:line="279" w:lineRule="auto"/>
        <w:tabs>
          <w:tab w:leader="none" w:pos="895"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Redemption Notice</w:t>
      </w:r>
      <w:r>
        <w:rPr>
          <w:rFonts w:ascii="Arial" w:cs="Arial" w:eastAsia="Arial" w:hAnsi="Arial"/>
          <w:sz w:val="17"/>
          <w:szCs w:val="17"/>
          <w:color w:val="auto"/>
        </w:rPr>
        <w:t>. To call any Notes for Redemption, the Company must (x) send to each Holder of such Notes, the Trustee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Paying Agent a written notice of such Redemption (a “</w:t>
      </w:r>
      <w:r>
        <w:rPr>
          <w:rFonts w:ascii="Arial" w:cs="Arial" w:eastAsia="Arial" w:hAnsi="Arial"/>
          <w:sz w:val="17"/>
          <w:szCs w:val="17"/>
          <w:b w:val="1"/>
          <w:bCs w:val="1"/>
          <w:color w:val="auto"/>
        </w:rPr>
        <w:t>Redemption Notice</w:t>
      </w:r>
      <w:r>
        <w:rPr>
          <w:rFonts w:ascii="Arial" w:cs="Arial" w:eastAsia="Arial" w:hAnsi="Arial"/>
          <w:sz w:val="17"/>
          <w:szCs w:val="17"/>
          <w:color w:val="auto"/>
        </w:rPr>
        <w:t>”); and (y) substantially contemporaneously therewith, issue a press release through such national newswire service as the Company then uses (or publish the same through such other widely disseminated public medium as the Company then uses, including its website) containing the information set forth in the Redemption Notice.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Redemption Notice must state:</w:t>
      </w:r>
    </w:p>
    <w:p>
      <w:pPr>
        <w:spacing w:after="0" w:line="225" w:lineRule="exact"/>
        <w:rPr>
          <w:sz w:val="20"/>
          <w:szCs w:val="20"/>
          <w:color w:val="auto"/>
        </w:rPr>
      </w:pPr>
    </w:p>
    <w:p>
      <w:pPr>
        <w:ind w:left="1584" w:hanging="936"/>
        <w:spacing w:after="0"/>
        <w:tabs>
          <w:tab w:leader="none" w:pos="15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that such Notes have been called for Redemption, briefly describing the Company’s Redemption right under this Indenture;</w:t>
      </w:r>
    </w:p>
    <w:p>
      <w:pPr>
        <w:spacing w:after="0" w:line="248" w:lineRule="exact"/>
        <w:rPr>
          <w:rFonts w:ascii="Arial" w:cs="Arial" w:eastAsia="Arial" w:hAnsi="Arial"/>
          <w:sz w:val="16"/>
          <w:szCs w:val="16"/>
          <w:color w:val="auto"/>
        </w:rPr>
      </w:pPr>
    </w:p>
    <w:p>
      <w:pPr>
        <w:ind w:left="1504" w:hanging="856"/>
        <w:spacing w:after="0"/>
        <w:tabs>
          <w:tab w:leader="none" w:pos="15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Date for such Redemption;</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6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w:t>
      </w:r>
      <w:r>
        <w:rPr>
          <w:rFonts w:ascii="Arial" w:cs="Arial" w:eastAsia="Arial" w:hAnsi="Arial"/>
          <w:sz w:val="18"/>
          <w:szCs w:val="18"/>
          <w:b w:val="1"/>
          <w:bCs w:val="1"/>
          <w:color w:val="auto"/>
        </w:rPr>
        <w:t>Section 4.03(E)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84" w:hanging="836"/>
        <w:spacing w:after="0"/>
        <w:tabs>
          <w:tab w:leader="none" w:pos="14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884" w:hanging="111"/>
        <w:spacing w:after="0"/>
        <w:tabs>
          <w:tab w:leader="none" w:pos="48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5" w:name="page46"/>
    <w:bookmarkEnd w:id="45"/>
    <w:p>
      <w:pPr>
        <w:jc w:val="both"/>
        <w:ind w:left="600" w:firstLine="644"/>
        <w:spacing w:after="0" w:line="263" w:lineRule="auto"/>
        <w:tabs>
          <w:tab w:leader="none" w:pos="19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spacing w:after="0" w:line="183" w:lineRule="exact"/>
        <w:rPr>
          <w:rFonts w:ascii="Arial" w:cs="Arial" w:eastAsia="Arial" w:hAnsi="Arial"/>
          <w:sz w:val="18"/>
          <w:szCs w:val="18"/>
          <w:color w:val="auto"/>
        </w:rPr>
      </w:pPr>
    </w:p>
    <w:p>
      <w:pPr>
        <w:ind w:left="600" w:firstLine="644"/>
        <w:spacing w:after="0" w:line="308" w:lineRule="auto"/>
        <w:tabs>
          <w:tab w:leader="none" w:pos="19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00" w:right="20" w:firstLine="644"/>
        <w:spacing w:after="0" w:line="277" w:lineRule="auto"/>
        <w:tabs>
          <w:tab w:leader="none" w:pos="2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Settlement Method that will apply to all conversions of Notes with a Conversion Date that occurs on or after such Redemption Notice Date and before such Redemption Date; and</w:t>
      </w:r>
    </w:p>
    <w:p>
      <w:pPr>
        <w:spacing w:after="0" w:line="170" w:lineRule="exact"/>
        <w:rPr>
          <w:rFonts w:ascii="Arial" w:cs="Arial" w:eastAsia="Arial" w:hAnsi="Arial"/>
          <w:sz w:val="18"/>
          <w:szCs w:val="18"/>
          <w:color w:val="auto"/>
        </w:rPr>
      </w:pPr>
    </w:p>
    <w:p>
      <w:pPr>
        <w:ind w:left="1880" w:hanging="636"/>
        <w:spacing w:after="0"/>
        <w:tabs>
          <w:tab w:leader="none" w:pos="1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or before the Redemption Notice Date, the Company will send a copy of such Redemption Notice to the Trustee and the Paying Agent.</w:t>
      </w:r>
    </w:p>
    <w:p>
      <w:pPr>
        <w:spacing w:after="0" w:line="225" w:lineRule="exact"/>
        <w:rPr>
          <w:sz w:val="20"/>
          <w:szCs w:val="20"/>
          <w:color w:val="auto"/>
        </w:rPr>
      </w:pPr>
    </w:p>
    <w:p>
      <w:pPr>
        <w:ind w:left="1520" w:hanging="924"/>
        <w:spacing w:after="0"/>
        <w:tabs>
          <w:tab w:leader="none" w:pos="15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Selection and Conversion of Notes to Be Redeemed in Part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0" w:firstLine="644"/>
        <w:spacing w:after="0" w:line="263" w:lineRule="auto"/>
        <w:tabs>
          <w:tab w:leader="none" w:pos="23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 and</w:t>
      </w:r>
    </w:p>
    <w:p>
      <w:pPr>
        <w:spacing w:after="0" w:line="183" w:lineRule="exact"/>
        <w:rPr>
          <w:rFonts w:ascii="Arial" w:cs="Arial" w:eastAsia="Arial" w:hAnsi="Arial"/>
          <w:sz w:val="18"/>
          <w:szCs w:val="18"/>
          <w:color w:val="auto"/>
        </w:rPr>
      </w:pPr>
    </w:p>
    <w:p>
      <w:pPr>
        <w:ind w:left="600" w:firstLine="644"/>
        <w:spacing w:after="0" w:line="277" w:lineRule="auto"/>
        <w:tabs>
          <w:tab w:leader="none" w:pos="2205"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only a portion of a Note is subject to Redemption and such Note is converted in part, then the converted portion of such Note will be deemed to be from the portion of such Note that was subject to Redemption.</w:t>
      </w:r>
    </w:p>
    <w:p>
      <w:pPr>
        <w:spacing w:after="0" w:line="170" w:lineRule="exact"/>
        <w:rPr>
          <w:rFonts w:ascii="Arial" w:cs="Arial" w:eastAsia="Arial" w:hAnsi="Arial"/>
          <w:sz w:val="18"/>
          <w:szCs w:val="18"/>
          <w:color w:val="auto"/>
        </w:rPr>
      </w:pPr>
    </w:p>
    <w:p>
      <w:pPr>
        <w:jc w:val="both"/>
        <w:ind w:left="-60" w:firstLine="656"/>
        <w:spacing w:after="0" w:line="259" w:lineRule="auto"/>
        <w:tabs>
          <w:tab w:leader="none" w:pos="149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Payment of the Redemption Price</w:t>
      </w:r>
      <w:r>
        <w:rPr>
          <w:rFonts w:ascii="Arial" w:cs="Arial" w:eastAsia="Arial" w:hAnsi="Arial"/>
          <w:sz w:val="18"/>
          <w:szCs w:val="18"/>
          <w:color w:val="auto"/>
        </w:rPr>
        <w:t>. Without limiting the Company’s obligation to deposit the Redemption Price by the time proscribed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w:t>
      </w:r>
      <w:r>
        <w:rPr>
          <w:rFonts w:ascii="Arial" w:cs="Arial" w:eastAsia="Arial" w:hAnsi="Arial"/>
          <w:sz w:val="18"/>
          <w:szCs w:val="18"/>
          <w:b w:val="1"/>
          <w:bCs w:val="1"/>
          <w:color w:val="auto"/>
        </w:rPr>
        <w:t>Section 3.01(B)</w:t>
      </w:r>
      <w:r>
        <w:rPr>
          <w:rFonts w:ascii="Arial" w:cs="Arial" w:eastAsia="Arial" w:hAnsi="Arial"/>
          <w:sz w:val="18"/>
          <w:szCs w:val="18"/>
          <w:color w:val="auto"/>
        </w:rPr>
        <w:t xml:space="preserve">, the Company will cause the Redemption Price for a Note (or portion thereof) subject to Redemption to be paid to the Holder thereof on or before the applicable Redemption Date. For the avoidance of doubt, interest payable pursuant to the proviso to </w:t>
      </w:r>
      <w:r>
        <w:rPr>
          <w:rFonts w:ascii="Arial" w:cs="Arial" w:eastAsia="Arial" w:hAnsi="Arial"/>
          <w:sz w:val="18"/>
          <w:szCs w:val="18"/>
          <w:b w:val="1"/>
          <w:bCs w:val="1"/>
          <w:color w:val="auto"/>
        </w:rPr>
        <w:t>Section 4.04(F)</w:t>
      </w:r>
      <w:r>
        <w:rPr>
          <w:rFonts w:ascii="Arial" w:cs="Arial" w:eastAsia="Arial" w:hAnsi="Arial"/>
          <w:sz w:val="18"/>
          <w:szCs w:val="18"/>
          <w:color w:val="auto"/>
        </w:rPr>
        <w:t xml:space="preserve"> on any Note (or portion thereof) subject to Redemption must be paid pursuant to such proviso.</w:t>
      </w:r>
    </w:p>
    <w:p>
      <w:pPr>
        <w:spacing w:after="0" w:line="182" w:lineRule="exact"/>
        <w:rPr>
          <w:rFonts w:ascii="Arial" w:cs="Arial" w:eastAsia="Arial" w:hAnsi="Arial"/>
          <w:sz w:val="18"/>
          <w:szCs w:val="18"/>
          <w:color w:val="auto"/>
        </w:rPr>
      </w:pPr>
    </w:p>
    <w:p>
      <w:pPr>
        <w:jc w:val="both"/>
        <w:ind w:left="-60" w:firstLine="656"/>
        <w:spacing w:after="0" w:line="274" w:lineRule="auto"/>
        <w:tabs>
          <w:tab w:leader="none" w:pos="15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If the Company elects to redeem less than all of the outstanding Notes pursuant to this </w:t>
      </w:r>
      <w:r>
        <w:rPr>
          <w:rFonts w:ascii="Arial" w:cs="Arial" w:eastAsia="Arial" w:hAnsi="Arial"/>
          <w:sz w:val="17"/>
          <w:szCs w:val="17"/>
          <w:b w:val="1"/>
          <w:bCs w:val="1"/>
          <w:color w:val="auto"/>
        </w:rPr>
        <w:t>Section 4.03</w:t>
      </w:r>
      <w:r>
        <w:rPr>
          <w:rFonts w:ascii="Arial" w:cs="Arial" w:eastAsia="Arial" w:hAnsi="Arial"/>
          <w:sz w:val="17"/>
          <w:szCs w:val="17"/>
          <w:color w:val="auto"/>
        </w:rPr>
        <w:t xml:space="preserve">, and the Holder of any Note, or any owner of a beneficial interest in any Global Note, is reasonably not able to determine, before the Close of Business on the twenty-seventh (27th) Scheduled Trading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 purposes of this </w:t>
      </w:r>
      <w:r>
        <w:rPr>
          <w:rFonts w:ascii="Arial" w:cs="Arial" w:eastAsia="Arial" w:hAnsi="Arial"/>
          <w:sz w:val="17"/>
          <w:szCs w:val="17"/>
          <w:b w:val="1"/>
          <w:bCs w:val="1"/>
          <w:color w:val="auto"/>
        </w:rPr>
        <w:t>Section 4.03</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Sections 5.01(C)(i)(4)</w:t>
      </w:r>
      <w:r>
        <w:rPr>
          <w:rFonts w:ascii="Arial" w:cs="Arial" w:eastAsia="Arial" w:hAnsi="Arial"/>
          <w:sz w:val="17"/>
          <w:szCs w:val="17"/>
          <w:color w:val="auto"/>
        </w:rPr>
        <w:t xml:space="preserve"> and </w:t>
      </w:r>
      <w:r>
        <w:rPr>
          <w:rFonts w:ascii="Arial" w:cs="Arial" w:eastAsia="Arial" w:hAnsi="Arial"/>
          <w:sz w:val="17"/>
          <w:szCs w:val="17"/>
          <w:b w:val="1"/>
          <w:bCs w:val="1"/>
          <w:color w:val="auto"/>
        </w:rPr>
        <w:t>5.07</w:t>
      </w:r>
      <w:r>
        <w:rPr>
          <w:rFonts w:ascii="Arial" w:cs="Arial" w:eastAsia="Arial" w:hAnsi="Arial"/>
          <w:sz w:val="17"/>
          <w:szCs w:val="17"/>
          <w:color w:val="auto"/>
        </w:rPr>
        <w:t>.</w:t>
      </w:r>
    </w:p>
    <w:p>
      <w:pPr>
        <w:spacing w:after="0" w:line="393" w:lineRule="exact"/>
        <w:rPr>
          <w:rFonts w:ascii="Arial" w:cs="Arial" w:eastAsia="Arial" w:hAnsi="Arial"/>
          <w:sz w:val="17"/>
          <w:szCs w:val="17"/>
          <w:color w:val="auto"/>
        </w:rPr>
      </w:pPr>
    </w:p>
    <w:p>
      <w:pPr>
        <w:ind w:left="5480" w:hanging="111"/>
        <w:spacing w:after="0"/>
        <w:tabs>
          <w:tab w:leader="none" w:pos="54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46" w:name="page47"/>
    <w:bookmarkEnd w:id="46"/>
    <w:p>
      <w:pPr>
        <w:ind w:left="4460"/>
        <w:spacing w:after="0"/>
        <w:tabs>
          <w:tab w:leader="none" w:pos="556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8"/>
          <w:szCs w:val="18"/>
          <w:b w:val="1"/>
          <w:bCs w:val="1"/>
          <w:color w:val="auto"/>
        </w:rPr>
        <w:t>CONVERSION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5.01.</w:t>
        <w:tab/>
        <w:t>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w:t>
      </w:r>
      <w:r>
        <w:rPr>
          <w:rFonts w:ascii="Arial" w:cs="Arial" w:eastAsia="Arial" w:hAnsi="Arial"/>
          <w:sz w:val="18"/>
          <w:szCs w:val="18"/>
          <w:b w:val="1"/>
          <w:bCs w:val="1"/>
          <w:color w:val="auto"/>
        </w:rPr>
        <w:t>.</w:t>
      </w:r>
    </w:p>
    <w:p>
      <w:pPr>
        <w:spacing w:after="0" w:line="225" w:lineRule="exact"/>
        <w:rPr>
          <w:sz w:val="20"/>
          <w:szCs w:val="20"/>
          <w:color w:val="auto"/>
        </w:rPr>
      </w:pPr>
    </w:p>
    <w:p>
      <w:pPr>
        <w:ind w:left="1620" w:hanging="964"/>
        <w:spacing w:after="0"/>
        <w:tabs>
          <w:tab w:leader="none" w:pos="16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Generally. </w:t>
      </w:r>
      <w:r>
        <w:rPr>
          <w:rFonts w:ascii="Arial" w:cs="Arial" w:eastAsia="Arial" w:hAnsi="Arial"/>
          <w:sz w:val="16"/>
          <w:szCs w:val="16"/>
          <w:color w:val="auto"/>
        </w:rPr>
        <w:t>Subject to the provisions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Article 5</w:t>
      </w:r>
      <w:r>
        <w:rPr>
          <w:rFonts w:ascii="Arial" w:cs="Arial" w:eastAsia="Arial" w:hAnsi="Arial"/>
          <w:sz w:val="16"/>
          <w:szCs w:val="16"/>
          <w:color w:val="auto"/>
        </w:rPr>
        <w:t>, each Holder may, at its option, convert such Holder’s Notes into Conversion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210" w:lineRule="exact"/>
        <w:rPr>
          <w:rFonts w:ascii="Arial" w:cs="Arial" w:eastAsia="Arial" w:hAnsi="Arial"/>
          <w:sz w:val="16"/>
          <w:szCs w:val="16"/>
          <w:color w:val="auto"/>
        </w:rPr>
      </w:pPr>
    </w:p>
    <w:p>
      <w:pPr>
        <w:ind w:firstLine="656"/>
        <w:spacing w:after="0" w:line="342" w:lineRule="auto"/>
        <w:tabs>
          <w:tab w:leader="none" w:pos="1612"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Conversions in Part</w:t>
      </w:r>
      <w:r>
        <w:rPr>
          <w:rFonts w:ascii="Arial" w:cs="Arial" w:eastAsia="Arial" w:hAnsi="Arial"/>
          <w:sz w:val="16"/>
          <w:szCs w:val="16"/>
          <w:color w:val="auto"/>
        </w:rPr>
        <w:t>. Subject to the terms of this Indenture, Notes may be converted in part, but only in Authorized Denominations.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Provisions of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applying to the conversion of a Note in whole will equally apply to conversions of a permitted portion of a Note.</w:t>
      </w:r>
    </w:p>
    <w:p>
      <w:pPr>
        <w:spacing w:after="0" w:line="123" w:lineRule="exact"/>
        <w:rPr>
          <w:rFonts w:ascii="Arial" w:cs="Arial" w:eastAsia="Arial" w:hAnsi="Arial"/>
          <w:sz w:val="16"/>
          <w:szCs w:val="16"/>
          <w:color w:val="auto"/>
        </w:rPr>
      </w:pPr>
    </w:p>
    <w:p>
      <w:pPr>
        <w:ind w:left="1520" w:hanging="864"/>
        <w:spacing w:after="0"/>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When Notes May Be Converted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240" w:hanging="936"/>
        <w:spacing w:after="0"/>
        <w:tabs>
          <w:tab w:leader="none" w:pos="224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5.01(C)(ii)</w:t>
      </w:r>
      <w:r>
        <w:rPr>
          <w:rFonts w:ascii="Arial" w:cs="Arial" w:eastAsia="Arial" w:hAnsi="Arial"/>
          <w:sz w:val="18"/>
          <w:szCs w:val="18"/>
          <w:color w:val="auto"/>
        </w:rPr>
        <w:t>, a Note may be converted only in the following circumstances:</w:t>
      </w:r>
    </w:p>
    <w:p>
      <w:pPr>
        <w:spacing w:after="0" w:line="229" w:lineRule="exact"/>
        <w:rPr>
          <w:rFonts w:ascii="Arial" w:cs="Arial" w:eastAsia="Arial" w:hAnsi="Arial"/>
          <w:sz w:val="18"/>
          <w:szCs w:val="18"/>
          <w:color w:val="auto"/>
        </w:rPr>
      </w:pPr>
    </w:p>
    <w:p>
      <w:pPr>
        <w:jc w:val="both"/>
        <w:ind w:left="1300" w:firstLine="652"/>
        <w:spacing w:after="0" w:line="257" w:lineRule="auto"/>
        <w:tabs>
          <w:tab w:leader="none" w:pos="2927" w:val="left"/>
        </w:tabs>
        <w:numPr>
          <w:ilvl w:val="2"/>
          <w:numId w:val="52"/>
        </w:numPr>
        <w:rPr>
          <w:rFonts w:ascii="Arial" w:cs="Arial" w:eastAsia="Arial" w:hAnsi="Arial"/>
          <w:sz w:val="18"/>
          <w:szCs w:val="18"/>
          <w:color w:val="auto"/>
        </w:rPr>
      </w:pPr>
      <w:r>
        <w:rPr>
          <w:rFonts w:ascii="Arial" w:cs="Arial" w:eastAsia="Arial" w:hAnsi="Arial"/>
          <w:sz w:val="18"/>
          <w:szCs w:val="18"/>
          <w:i w:val="1"/>
          <w:iCs w:val="1"/>
          <w:color w:val="auto"/>
        </w:rPr>
        <w:t>Conversion upon Satisfaction of Common Stock Sale Price Condition</w:t>
      </w:r>
      <w:r>
        <w:rPr>
          <w:rFonts w:ascii="Arial" w:cs="Arial" w:eastAsia="Arial" w:hAnsi="Arial"/>
          <w:sz w:val="18"/>
          <w:szCs w:val="18"/>
          <w:color w:val="auto"/>
        </w:rPr>
        <w:t>. A Holder may convert its Notes during any</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commencing after the calendar quarter ending on September 30, 2021 (and only during such calendar quarter),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87" w:lineRule="exact"/>
        <w:rPr>
          <w:rFonts w:ascii="Arial" w:cs="Arial" w:eastAsia="Arial" w:hAnsi="Arial"/>
          <w:sz w:val="18"/>
          <w:szCs w:val="18"/>
          <w:color w:val="auto"/>
        </w:rPr>
      </w:pPr>
    </w:p>
    <w:p>
      <w:pPr>
        <w:jc w:val="both"/>
        <w:ind w:left="1300" w:firstLine="652"/>
        <w:spacing w:after="0" w:line="293" w:lineRule="auto"/>
        <w:tabs>
          <w:tab w:leader="none" w:pos="2900" w:val="left"/>
        </w:tabs>
        <w:numPr>
          <w:ilvl w:val="2"/>
          <w:numId w:val="52"/>
        </w:numPr>
        <w:rPr>
          <w:rFonts w:ascii="Arial" w:cs="Arial" w:eastAsia="Arial" w:hAnsi="Arial"/>
          <w:sz w:val="16"/>
          <w:szCs w:val="16"/>
          <w:color w:val="auto"/>
        </w:rPr>
      </w:pPr>
      <w:r>
        <w:rPr>
          <w:rFonts w:ascii="Arial" w:cs="Arial" w:eastAsia="Arial" w:hAnsi="Arial"/>
          <w:sz w:val="16"/>
          <w:szCs w:val="16"/>
          <w:i w:val="1"/>
          <w:iCs w:val="1"/>
          <w:color w:val="auto"/>
        </w:rPr>
        <w:t>Conversion upon Satisfaction of Note Trading Price Condition</w:t>
      </w:r>
      <w:r>
        <w:rPr>
          <w:rFonts w:ascii="Arial" w:cs="Arial" w:eastAsia="Arial" w:hAnsi="Arial"/>
          <w:sz w:val="16"/>
          <w:szCs w:val="16"/>
          <w:color w:val="auto"/>
        </w:rPr>
        <w:t>. A Holder may convert its Notes during the five (5)</w:t>
      </w:r>
      <w:r>
        <w:rPr>
          <w:rFonts w:ascii="Arial" w:cs="Arial" w:eastAsia="Arial" w:hAnsi="Arial"/>
          <w:sz w:val="16"/>
          <w:szCs w:val="16"/>
          <w:i w:val="1"/>
          <w:iCs w:val="1"/>
          <w:color w:val="auto"/>
        </w:rPr>
        <w:t xml:space="preserve"> </w:t>
      </w:r>
      <w:r>
        <w:rPr>
          <w:rFonts w:ascii="Arial" w:cs="Arial" w:eastAsia="Arial" w:hAnsi="Arial"/>
          <w:sz w:val="16"/>
          <w:szCs w:val="16"/>
          <w:color w:val="auto"/>
        </w:rPr>
        <w:t>consecutive Business Days immediately after any ten (10) consecutive Trading Day period (such ten (10)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Arial" w:cs="Arial" w:eastAsia="Arial" w:hAnsi="Arial"/>
          <w:sz w:val="16"/>
          <w:szCs w:val="16"/>
          <w:b w:val="1"/>
          <w:bCs w:val="1"/>
          <w:color w:val="auto"/>
        </w:rPr>
        <w:t>Trading Price Condition</w:t>
      </w:r>
      <w:r>
        <w:rPr>
          <w:rFonts w:ascii="Arial" w:cs="Arial" w:eastAsia="Arial" w:hAnsi="Arial"/>
          <w:sz w:val="16"/>
          <w:szCs w:val="16"/>
          <w:color w:val="auto"/>
        </w:rPr>
        <w:t>.”</w:t>
      </w:r>
    </w:p>
    <w:p>
      <w:pPr>
        <w:spacing w:after="0" w:line="160" w:lineRule="exact"/>
        <w:rPr>
          <w:sz w:val="20"/>
          <w:szCs w:val="20"/>
          <w:color w:val="auto"/>
        </w:rPr>
      </w:pPr>
    </w:p>
    <w:p>
      <w:pPr>
        <w:jc w:val="both"/>
        <w:ind w:left="1300"/>
        <w:spacing w:after="0" w:line="268" w:lineRule="auto"/>
        <w:rPr>
          <w:sz w:val="20"/>
          <w:szCs w:val="20"/>
          <w:color w:val="auto"/>
        </w:rPr>
      </w:pPr>
      <w:r>
        <w:rPr>
          <w:rFonts w:ascii="Arial" w:cs="Arial" w:eastAsia="Arial" w:hAnsi="Arial"/>
          <w:sz w:val="17"/>
          <w:szCs w:val="17"/>
          <w:color w:val="auto"/>
        </w:rPr>
        <w:t xml:space="preserve">The Trading Price will be determined by the Bid Solicitation Agent pursuant to this </w:t>
      </w:r>
      <w:r>
        <w:rPr>
          <w:rFonts w:ascii="Arial" w:cs="Arial" w:eastAsia="Arial" w:hAnsi="Arial"/>
          <w:sz w:val="17"/>
          <w:szCs w:val="17"/>
          <w:b w:val="1"/>
          <w:bCs w:val="1"/>
          <w:color w:val="auto"/>
        </w:rPr>
        <w:t>Section 5.01(C)(i)(2)</w:t>
      </w:r>
      <w:r>
        <w:rPr>
          <w:rFonts w:ascii="Arial" w:cs="Arial" w:eastAsia="Arial" w:hAnsi="Arial"/>
          <w:sz w:val="17"/>
          <w:szCs w:val="17"/>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who beneficially owns not less than $2,000,000 principal amount of the Notes (or such lesser amount as is then outstanding)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1540" w:hanging="708"/>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Conversion upon Specified Corporate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460"/>
        <w:spacing w:after="0"/>
        <w:tabs>
          <w:tab w:leader="none" w:pos="194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Certain Distributions</w:t>
      </w:r>
      <w:r>
        <w:rPr>
          <w:rFonts w:ascii="Arial" w:cs="Arial" w:eastAsia="Arial" w:hAnsi="Arial"/>
          <w:sz w:val="18"/>
          <w:szCs w:val="18"/>
          <w:color w:val="auto"/>
        </w:rPr>
        <w:t>. If the Company elects to:</w:t>
      </w:r>
    </w:p>
    <w:p>
      <w:pPr>
        <w:spacing w:after="0" w:line="225" w:lineRule="exact"/>
        <w:rPr>
          <w:rFonts w:ascii="Arial" w:cs="Arial" w:eastAsia="Arial" w:hAnsi="Arial"/>
          <w:sz w:val="18"/>
          <w:szCs w:val="18"/>
          <w:color w:val="auto"/>
        </w:rPr>
      </w:pPr>
    </w:p>
    <w:p>
      <w:pPr>
        <w:jc w:val="both"/>
        <w:ind w:left="1480" w:firstLine="648"/>
        <w:spacing w:after="0" w:line="272" w:lineRule="auto"/>
        <w:tabs>
          <w:tab w:leader="none" w:pos="3216" w:val="left"/>
        </w:tabs>
        <w:numPr>
          <w:ilvl w:val="2"/>
          <w:numId w:val="53"/>
        </w:numPr>
        <w:rPr>
          <w:rFonts w:ascii="Arial" w:cs="Arial" w:eastAsia="Arial" w:hAnsi="Arial"/>
          <w:sz w:val="17"/>
          <w:szCs w:val="17"/>
          <w:color w:val="auto"/>
        </w:rPr>
      </w:pPr>
      <w:r>
        <w:rPr>
          <w:rFonts w:ascii="Arial" w:cs="Arial" w:eastAsia="Arial" w:hAnsi="Arial"/>
          <w:sz w:val="17"/>
          <w:szCs w:val="17"/>
          <w:color w:val="auto"/>
        </w:rPr>
        <w:t xml:space="preserve">distribute, to all or substantially all holders of Common Stock, any rights, options or warrants (other than rights issued pursuant to a stockholder rights plan prior to separation of such rights from the Common Stock)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Arial" w:cs="Arial" w:eastAsia="Arial" w:hAnsi="Arial"/>
          <w:sz w:val="17"/>
          <w:szCs w:val="17"/>
          <w:b w:val="1"/>
          <w:bCs w:val="1"/>
          <w:color w:val="auto"/>
        </w:rPr>
        <w:t>Section 5.05(A)(ii)</w:t>
      </w:r>
      <w:r>
        <w:rPr>
          <w:rFonts w:ascii="Arial" w:cs="Arial" w:eastAsia="Arial" w:hAnsi="Arial"/>
          <w:sz w:val="17"/>
          <w:szCs w:val="17"/>
          <w:color w:val="auto"/>
        </w:rPr>
        <w:t>); or</w:t>
      </w:r>
    </w:p>
    <w:p>
      <w:pPr>
        <w:spacing w:after="0" w:line="177" w:lineRule="exact"/>
        <w:rPr>
          <w:sz w:val="20"/>
          <w:szCs w:val="20"/>
          <w:color w:val="auto"/>
        </w:rPr>
      </w:pPr>
    </w:p>
    <w:p>
      <w:pPr>
        <w:jc w:val="both"/>
        <w:ind w:left="1480" w:firstLine="648"/>
        <w:spacing w:after="0" w:line="279" w:lineRule="auto"/>
        <w:tabs>
          <w:tab w:leader="none" w:pos="30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spacing w:after="0" w:line="171" w:lineRule="exact"/>
        <w:rPr>
          <w:sz w:val="20"/>
          <w:szCs w:val="20"/>
          <w:color w:val="auto"/>
        </w:rPr>
      </w:pPr>
    </w:p>
    <w:p>
      <w:pPr>
        <w:jc w:val="both"/>
        <w:ind w:left="840"/>
        <w:spacing w:after="0" w:line="286" w:lineRule="auto"/>
        <w:rPr>
          <w:sz w:val="20"/>
          <w:szCs w:val="20"/>
          <w:color w:val="auto"/>
        </w:rPr>
      </w:pPr>
      <w:r>
        <w:rPr>
          <w:rFonts w:ascii="Arial" w:cs="Arial" w:eastAsia="Arial" w:hAnsi="Arial"/>
          <w:sz w:val="16"/>
          <w:szCs w:val="16"/>
          <w:color w:val="auto"/>
        </w:rPr>
        <w:t xml:space="preserve">then, in either case, (x) the Company will send notice of such distribution, and of the related right to convert Notes, to Holders, the Trustee and the Conversion Agent at least thirty (30) Scheduled Trading Days before the Ex-Dividend Date for such distribution;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b w:val="1"/>
          <w:bCs w:val="1"/>
          <w:color w:val="auto"/>
        </w:rPr>
        <w:t>Section 5.01(C)(i)(3)(a)</w:t>
      </w:r>
      <w:r>
        <w:rPr>
          <w:rFonts w:ascii="Arial" w:cs="Arial" w:eastAsia="Arial" w:hAnsi="Arial"/>
          <w:sz w:val="16"/>
          <w:szCs w:val="16"/>
          <w:color w:val="auto"/>
        </w:rPr>
        <w:t xml:space="preserve">, in the case of any separation, from the Common Stock, of rights issued pursuant to a stockholder rights plan as set forth in </w:t>
      </w:r>
      <w:r>
        <w:rPr>
          <w:rFonts w:ascii="Arial" w:cs="Arial" w:eastAsia="Arial" w:hAnsi="Arial"/>
          <w:sz w:val="16"/>
          <w:szCs w:val="16"/>
          <w:b w:val="1"/>
          <w:bCs w:val="1"/>
          <w:color w:val="auto"/>
        </w:rPr>
        <w:t>clause (I)</w:t>
      </w:r>
      <w:r>
        <w:rPr>
          <w:rFonts w:ascii="Arial" w:cs="Arial" w:eastAsia="Arial" w:hAnsi="Arial"/>
          <w:sz w:val="16"/>
          <w:szCs w:val="16"/>
          <w:color w:val="auto"/>
        </w:rPr>
        <w:t xml:space="preserve"> above, in no event will the Company be required to provide such notice before the Business Day after the date the Company becomes aware of the event causing such separation.</w:t>
      </w:r>
    </w:p>
    <w:p>
      <w:pPr>
        <w:spacing w:after="0" w:line="39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8" w:name="page49"/>
    <w:bookmarkEnd w:id="48"/>
    <w:p>
      <w:pPr>
        <w:jc w:val="both"/>
        <w:ind w:left="840" w:firstLine="640"/>
        <w:spacing w:after="0" w:line="287" w:lineRule="auto"/>
        <w:tabs>
          <w:tab w:leader="none" w:pos="2629"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Certain Corporate Events</w:t>
      </w:r>
      <w:r>
        <w:rPr>
          <w:rFonts w:ascii="Arial" w:cs="Arial" w:eastAsia="Arial" w:hAnsi="Arial"/>
          <w:sz w:val="16"/>
          <w:szCs w:val="16"/>
          <w:color w:val="auto"/>
        </w:rPr>
        <w:t>. If a Fundamental Change, Make-Whole Fundamental Change or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fails to provide the notice referred to in the immediately following sentence by such effective date, then the last day on which the Notes are convertible pursuant to this sentence will be extended by the number of Business Days from, and including, such effective date to, but excluding, the date the Company provides such notice. No later than such effective date, the Company will send notice to the Holders, the Trustee and the Conversion Agent of such transaction or event, such effective date and the related right to convert Notes.</w:t>
      </w:r>
    </w:p>
    <w:p>
      <w:pPr>
        <w:spacing w:after="0" w:line="171" w:lineRule="exact"/>
        <w:rPr>
          <w:rFonts w:ascii="Arial" w:cs="Arial" w:eastAsia="Arial" w:hAnsi="Arial"/>
          <w:sz w:val="16"/>
          <w:szCs w:val="16"/>
          <w:color w:val="auto"/>
        </w:rPr>
      </w:pPr>
    </w:p>
    <w:p>
      <w:pPr>
        <w:jc w:val="both"/>
        <w:ind w:left="180" w:firstLine="652"/>
        <w:spacing w:after="0" w:line="259" w:lineRule="auto"/>
        <w:tabs>
          <w:tab w:leader="none" w:pos="1807"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Conversion Upon Redemption</w:t>
      </w:r>
      <w:r>
        <w:rPr>
          <w:rFonts w:ascii="Arial" w:cs="Arial" w:eastAsia="Arial" w:hAnsi="Arial"/>
          <w:sz w:val="18"/>
          <w:szCs w:val="18"/>
          <w:color w:val="auto"/>
        </w:rPr>
        <w:t>. If the Company calls any Note for Redemption, then the Holder of such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such Note at any time before the Close of Business on the Business Day immediately before the related Redemption Date (or, if the Company fails to pay the Redemption Price due on such Redemption Date in full, at any time until such time as the Company pays such Redemption Price in full).</w:t>
      </w:r>
    </w:p>
    <w:p>
      <w:pPr>
        <w:spacing w:after="0" w:line="186" w:lineRule="exact"/>
        <w:rPr>
          <w:rFonts w:ascii="Arial" w:cs="Arial" w:eastAsia="Arial" w:hAnsi="Arial"/>
          <w:sz w:val="18"/>
          <w:szCs w:val="18"/>
          <w:color w:val="auto"/>
        </w:rPr>
      </w:pPr>
    </w:p>
    <w:p>
      <w:pPr>
        <w:ind w:left="180" w:right="20" w:firstLine="652"/>
        <w:spacing w:after="0" w:line="342" w:lineRule="auto"/>
        <w:tabs>
          <w:tab w:leader="none" w:pos="18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Conversions During Free Convertibility Period</w:t>
      </w:r>
      <w:r>
        <w:rPr>
          <w:rFonts w:ascii="Arial" w:cs="Arial" w:eastAsia="Arial" w:hAnsi="Arial"/>
          <w:sz w:val="16"/>
          <w:szCs w:val="16"/>
          <w:color w:val="auto"/>
        </w:rPr>
        <w:t>. A Holder may convert its Notes at any time from, and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2025 until the Close of Business on the second (2nd) Scheduled Trading Day immediately before the Maturity Date.</w:t>
      </w:r>
    </w:p>
    <w:p>
      <w:pPr>
        <w:spacing w:after="0" w:line="339" w:lineRule="exact"/>
        <w:rPr>
          <w:rFonts w:ascii="Arial" w:cs="Arial" w:eastAsia="Arial" w:hAnsi="Arial"/>
          <w:sz w:val="16"/>
          <w:szCs w:val="16"/>
          <w:color w:val="auto"/>
        </w:rPr>
      </w:pPr>
    </w:p>
    <w:p>
      <w:pPr>
        <w:ind w:left="4420" w:hanging="111"/>
        <w:spacing w:after="0"/>
        <w:tabs>
          <w:tab w:leader="none" w:pos="44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9" w:name="page50"/>
    <w:bookmarkEnd w:id="49"/>
    <w:p>
      <w:pPr>
        <w:jc w:val="both"/>
        <w:ind w:left="660"/>
        <w:spacing w:after="0" w:line="266" w:lineRule="auto"/>
        <w:rPr>
          <w:sz w:val="20"/>
          <w:szCs w:val="20"/>
          <w:color w:val="auto"/>
        </w:rPr>
      </w:pPr>
      <w:r>
        <w:rPr>
          <w:rFonts w:ascii="Arial" w:cs="Arial" w:eastAsia="Arial" w:hAnsi="Arial"/>
          <w:sz w:val="18"/>
          <w:szCs w:val="18"/>
          <w:color w:val="auto"/>
        </w:rPr>
        <w:t xml:space="preserve">For the avoidance of doubt, the Notes may become convertible pursuant to any one or more of the preceding sub-paragraphs of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5.01(C)(i) </w:t>
      </w:r>
      <w:r>
        <w:rPr>
          <w:rFonts w:ascii="Arial" w:cs="Arial" w:eastAsia="Arial" w:hAnsi="Arial"/>
          <w:sz w:val="18"/>
          <w:szCs w:val="18"/>
          <w:color w:val="auto"/>
        </w:rPr>
        <w:t>and the Notes ceasing to be convertible pursuant to a particular sub-paragraph of this</w:t>
      </w:r>
      <w:r>
        <w:rPr>
          <w:rFonts w:ascii="Arial" w:cs="Arial" w:eastAsia="Arial" w:hAnsi="Arial"/>
          <w:sz w:val="18"/>
          <w:szCs w:val="18"/>
          <w:b w:val="1"/>
          <w:bCs w:val="1"/>
          <w:color w:val="auto"/>
        </w:rPr>
        <w:t xml:space="preserve"> Section 5.01(C)(i) </w:t>
      </w:r>
      <w:r>
        <w:rPr>
          <w:rFonts w:ascii="Arial" w:cs="Arial" w:eastAsia="Arial" w:hAnsi="Arial"/>
          <w:sz w:val="18"/>
          <w:szCs w:val="18"/>
          <w:color w:val="auto"/>
        </w:rPr>
        <w:t>will not preclude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being convertible pursuant to any other sub-paragraph of this </w:t>
      </w:r>
      <w:r>
        <w:rPr>
          <w:rFonts w:ascii="Arial" w:cs="Arial" w:eastAsia="Arial" w:hAnsi="Arial"/>
          <w:sz w:val="18"/>
          <w:szCs w:val="18"/>
          <w:b w:val="1"/>
          <w:bCs w:val="1"/>
          <w:color w:val="auto"/>
        </w:rPr>
        <w:t>Section 5.01(C)(i)</w:t>
      </w:r>
      <w:r>
        <w:rPr>
          <w:rFonts w:ascii="Arial" w:cs="Arial" w:eastAsia="Arial" w:hAnsi="Arial"/>
          <w:sz w:val="18"/>
          <w:szCs w:val="18"/>
          <w:color w:val="auto"/>
        </w:rPr>
        <w:t>.</w:t>
      </w:r>
    </w:p>
    <w:p>
      <w:pPr>
        <w:spacing w:after="0" w:line="180" w:lineRule="exact"/>
        <w:rPr>
          <w:sz w:val="20"/>
          <w:szCs w:val="20"/>
          <w:color w:val="auto"/>
        </w:rPr>
      </w:pPr>
    </w:p>
    <w:p>
      <w:pPr>
        <w:ind w:left="2160" w:hanging="856"/>
        <w:spacing w:after="0"/>
        <w:tabs>
          <w:tab w:leader="none" w:pos="21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Limitations and Closed Periods</w:t>
      </w:r>
      <w:r>
        <w:rPr>
          <w:rFonts w:ascii="Arial" w:cs="Arial" w:eastAsia="Arial" w:hAnsi="Arial"/>
          <w:sz w:val="18"/>
          <w:szCs w:val="18"/>
          <w:color w:val="auto"/>
        </w:rPr>
        <w:t>. Notwithstanding anything to the contrary in this Indenture or the Notes:</w:t>
      </w:r>
    </w:p>
    <w:p>
      <w:pPr>
        <w:spacing w:after="0" w:line="225" w:lineRule="exact"/>
        <w:rPr>
          <w:rFonts w:ascii="Arial" w:cs="Arial" w:eastAsia="Arial" w:hAnsi="Arial"/>
          <w:sz w:val="18"/>
          <w:szCs w:val="18"/>
          <w:color w:val="auto"/>
        </w:rPr>
      </w:pPr>
    </w:p>
    <w:p>
      <w:pPr>
        <w:ind w:left="1300" w:firstLine="652"/>
        <w:spacing w:after="0" w:line="277" w:lineRule="auto"/>
        <w:tabs>
          <w:tab w:leader="none" w:pos="28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Notes may be surrendered for conversion only after the Open of Business and before the Close of Business on a day that is a Business Day;</w:t>
      </w:r>
    </w:p>
    <w:p>
      <w:pPr>
        <w:spacing w:after="0" w:line="170" w:lineRule="exact"/>
        <w:rPr>
          <w:rFonts w:ascii="Arial" w:cs="Arial" w:eastAsia="Arial" w:hAnsi="Arial"/>
          <w:sz w:val="18"/>
          <w:szCs w:val="18"/>
          <w:color w:val="auto"/>
        </w:rPr>
      </w:pPr>
    </w:p>
    <w:p>
      <w:pPr>
        <w:ind w:left="1300" w:right="20" w:firstLine="652"/>
        <w:spacing w:after="0" w:line="277" w:lineRule="auto"/>
        <w:tabs>
          <w:tab w:leader="none" w:pos="2994"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no event may any Note be converted after the Close of Business on the second (2nd) Scheduled Trading Day immediately before the Maturity Date;</w:t>
      </w:r>
    </w:p>
    <w:p>
      <w:pPr>
        <w:spacing w:after="0" w:line="166" w:lineRule="exact"/>
        <w:rPr>
          <w:rFonts w:ascii="Arial" w:cs="Arial" w:eastAsia="Arial" w:hAnsi="Arial"/>
          <w:sz w:val="18"/>
          <w:szCs w:val="18"/>
          <w:color w:val="auto"/>
        </w:rPr>
      </w:pPr>
    </w:p>
    <w:p>
      <w:pPr>
        <w:jc w:val="both"/>
        <w:ind w:left="1300" w:firstLine="652"/>
        <w:spacing w:after="0" w:line="289" w:lineRule="auto"/>
        <w:tabs>
          <w:tab w:leader="none" w:pos="3008"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if the Company calls any Note for Redemption pursuant to </w:t>
      </w:r>
      <w:r>
        <w:rPr>
          <w:rFonts w:ascii="Arial" w:cs="Arial" w:eastAsia="Arial" w:hAnsi="Arial"/>
          <w:sz w:val="17"/>
          <w:szCs w:val="17"/>
          <w:b w:val="1"/>
          <w:bCs w:val="1"/>
          <w:color w:val="auto"/>
        </w:rPr>
        <w:t>Section 4.03</w:t>
      </w:r>
      <w:r>
        <w:rPr>
          <w:rFonts w:ascii="Arial" w:cs="Arial" w:eastAsia="Arial" w:hAnsi="Arial"/>
          <w:sz w:val="17"/>
          <w:szCs w:val="17"/>
          <w:color w:val="auto"/>
        </w:rPr>
        <w:t>, then the Holder of such Note may not convert such Note after the Close of Business on the Business Day immediately before the applicable Redemption Date, except to the extent the Company fails to pay the Redemption Price for such Note in accordance with this Indenture; and</w:t>
      </w:r>
    </w:p>
    <w:p>
      <w:pPr>
        <w:spacing w:after="0" w:line="157" w:lineRule="exact"/>
        <w:rPr>
          <w:rFonts w:ascii="Arial" w:cs="Arial" w:eastAsia="Arial" w:hAnsi="Arial"/>
          <w:sz w:val="17"/>
          <w:szCs w:val="17"/>
          <w:color w:val="auto"/>
        </w:rPr>
      </w:pPr>
    </w:p>
    <w:p>
      <w:pPr>
        <w:jc w:val="both"/>
        <w:ind w:left="1300" w:firstLine="652"/>
        <w:spacing w:after="0" w:line="261" w:lineRule="auto"/>
        <w:tabs>
          <w:tab w:leader="none" w:pos="2967"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if a Fundamental Change Repurchase Notice is validly delivered pursuant to </w:t>
      </w:r>
      <w:r>
        <w:rPr>
          <w:rFonts w:ascii="Arial" w:cs="Arial" w:eastAsia="Arial" w:hAnsi="Arial"/>
          <w:sz w:val="18"/>
          <w:szCs w:val="18"/>
          <w:b w:val="1"/>
          <w:bCs w:val="1"/>
          <w:color w:val="auto"/>
        </w:rPr>
        <w:t>Section 4.02(F)</w:t>
      </w:r>
      <w:r>
        <w:rPr>
          <w:rFonts w:ascii="Arial" w:cs="Arial" w:eastAsia="Arial" w:hAnsi="Arial"/>
          <w:sz w:val="18"/>
          <w:szCs w:val="18"/>
          <w:color w:val="auto"/>
        </w:rPr>
        <w:t xml:space="preserve"> with respect to any Note, then such Note may not be converted, except to the extent (a) such Note is not subject to such notice; (b) such notice is withdrawn in accordance with </w:t>
      </w:r>
      <w:r>
        <w:rPr>
          <w:rFonts w:ascii="Arial" w:cs="Arial" w:eastAsia="Arial" w:hAnsi="Arial"/>
          <w:sz w:val="18"/>
          <w:szCs w:val="18"/>
          <w:b w:val="1"/>
          <w:bCs w:val="1"/>
          <w:color w:val="auto"/>
        </w:rPr>
        <w:t>Section 4.02(F)</w:t>
      </w:r>
      <w:r>
        <w:rPr>
          <w:rFonts w:ascii="Arial" w:cs="Arial" w:eastAsia="Arial" w:hAnsi="Arial"/>
          <w:sz w:val="18"/>
          <w:szCs w:val="18"/>
          <w:color w:val="auto"/>
        </w:rPr>
        <w:t>; or (c) the Company fails to pay the Fundamental Change Repurchase Price for such Note in accordance with this Indenture.</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7"/>
          <w:szCs w:val="17"/>
          <w:b w:val="1"/>
          <w:bCs w:val="1"/>
          <w:color w:val="auto"/>
        </w:rPr>
        <w:t>C</w:t>
      </w:r>
      <w:r>
        <w:rPr>
          <w:rFonts w:ascii="Arial" w:cs="Arial" w:eastAsia="Arial" w:hAnsi="Arial"/>
          <w:sz w:val="11"/>
          <w:szCs w:val="11"/>
          <w:b w:val="1"/>
          <w:bCs w:val="1"/>
          <w:color w:val="auto"/>
        </w:rPr>
        <w:t>ONVERSION</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ROCEDURES</w:t>
      </w:r>
      <w:r>
        <w:rPr>
          <w:rFonts w:ascii="Arial" w:cs="Arial" w:eastAsia="Arial" w:hAnsi="Arial"/>
          <w:sz w:val="17"/>
          <w:szCs w:val="17"/>
          <w:b w:val="1"/>
          <w:bCs w:val="1"/>
          <w:color w:val="auto"/>
        </w:rPr>
        <w:t>.</w:t>
      </w:r>
    </w:p>
    <w:p>
      <w:pPr>
        <w:spacing w:after="0" w:line="229" w:lineRule="exact"/>
        <w:rPr>
          <w:sz w:val="20"/>
          <w:szCs w:val="20"/>
          <w:color w:val="auto"/>
        </w:rPr>
      </w:pPr>
    </w:p>
    <w:p>
      <w:pPr>
        <w:ind w:left="1540" w:hanging="884"/>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660" w:firstLine="644"/>
        <w:spacing w:after="0" w:line="266" w:lineRule="auto"/>
        <w:tabs>
          <w:tab w:leader="none" w:pos="2283"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To convert a beneficial interest in a Global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owner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beneficial interest must (1) comply with the Depositary Procedures for converting such beneficial interest (at which time such conversion will become irrevocable); and (2) pay any amounts due pursuant to </w:t>
      </w:r>
      <w:r>
        <w:rPr>
          <w:rFonts w:ascii="Arial" w:cs="Arial" w:eastAsia="Arial" w:hAnsi="Arial"/>
          <w:sz w:val="18"/>
          <w:szCs w:val="18"/>
          <w:b w:val="1"/>
          <w:bCs w:val="1"/>
          <w:color w:val="auto"/>
        </w:rPr>
        <w:t>Section 5.02(D)</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5.02(E)</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660" w:firstLine="644"/>
        <w:spacing w:after="0" w:line="258" w:lineRule="auto"/>
        <w:tabs>
          <w:tab w:leader="none" w:pos="2238"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Physical Notes</w:t>
      </w:r>
      <w:r>
        <w:rPr>
          <w:rFonts w:ascii="Arial" w:cs="Arial" w:eastAsia="Arial" w:hAnsi="Arial"/>
          <w:sz w:val="18"/>
          <w:szCs w:val="18"/>
          <w:color w:val="auto"/>
        </w:rPr>
        <w:t>. To convert all or a portion of a Physical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Arial" w:cs="Arial" w:eastAsia="Arial" w:hAnsi="Arial"/>
          <w:sz w:val="18"/>
          <w:szCs w:val="18"/>
          <w:b w:val="1"/>
          <w:bCs w:val="1"/>
          <w:color w:val="auto"/>
        </w:rPr>
        <w:t>Section 5.02(D)</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5.02(E)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6"/>
        <w:spacing w:after="0" w:line="286" w:lineRule="auto"/>
        <w:tabs>
          <w:tab w:leader="none" w:pos="1571"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Effect of Converting a Note</w:t>
      </w:r>
      <w:r>
        <w:rPr>
          <w:rFonts w:ascii="Arial" w:cs="Arial" w:eastAsia="Arial" w:hAnsi="Arial"/>
          <w:sz w:val="17"/>
          <w:szCs w:val="17"/>
          <w:color w:val="auto"/>
        </w:rPr>
        <w:t>. At the Close of Business on the Conversion Date for a Note (or any portion thereof), such Note (or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portion thereof) will be deemed to cease to be outstanding (and, for the avoidance of doubt, no Person will be deemed to be a Holder of such Note (or such portion thereof) as of the Close of Business on such Conversion Date), except to the extent provided in </w:t>
      </w:r>
      <w:r>
        <w:rPr>
          <w:rFonts w:ascii="Arial" w:cs="Arial" w:eastAsia="Arial" w:hAnsi="Arial"/>
          <w:sz w:val="17"/>
          <w:szCs w:val="17"/>
          <w:b w:val="1"/>
          <w:bCs w:val="1"/>
          <w:color w:val="auto"/>
        </w:rPr>
        <w:t>Section 5.02(D)</w:t>
      </w:r>
      <w:r>
        <w:rPr>
          <w:rFonts w:ascii="Arial" w:cs="Arial" w:eastAsia="Arial" w:hAnsi="Arial"/>
          <w:sz w:val="17"/>
          <w:szCs w:val="17"/>
          <w:color w:val="auto"/>
        </w:rPr>
        <w:t>.</w:t>
      </w:r>
    </w:p>
    <w:p>
      <w:pPr>
        <w:spacing w:after="0" w:line="381" w:lineRule="exact"/>
        <w:rPr>
          <w:rFonts w:ascii="Arial" w:cs="Arial" w:eastAsia="Arial" w:hAnsi="Arial"/>
          <w:sz w:val="17"/>
          <w:szCs w:val="17"/>
          <w:color w:val="auto"/>
        </w:rPr>
      </w:pPr>
    </w:p>
    <w:p>
      <w:pPr>
        <w:ind w:left="5540" w:hanging="111"/>
        <w:spacing w:after="0"/>
        <w:tabs>
          <w:tab w:leader="none" w:pos="55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656" w:firstLine="656"/>
        <w:spacing w:after="0" w:line="263" w:lineRule="auto"/>
        <w:tabs>
          <w:tab w:leader="none" w:pos="942"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Holder of Record of Conversion Shares</w:t>
      </w:r>
      <w:r>
        <w:rPr>
          <w:rFonts w:ascii="Arial" w:cs="Arial" w:eastAsia="Arial" w:hAnsi="Arial"/>
          <w:sz w:val="18"/>
          <w:szCs w:val="18"/>
          <w:color w:val="auto"/>
        </w:rPr>
        <w:t>. The Person in whose name any share of Common Stock is issuable upon conversion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Note will be deemed to become the holder of record of such share as of the Close of Business on the last VWAP Trading Day of the Observation Period for such conversion.</w:t>
      </w:r>
    </w:p>
    <w:p>
      <w:pPr>
        <w:spacing w:after="0" w:line="183" w:lineRule="exact"/>
        <w:rPr>
          <w:rFonts w:ascii="Arial" w:cs="Arial" w:eastAsia="Arial" w:hAnsi="Arial"/>
          <w:sz w:val="18"/>
          <w:szCs w:val="18"/>
          <w:color w:val="auto"/>
        </w:rPr>
      </w:pPr>
    </w:p>
    <w:p>
      <w:pPr>
        <w:jc w:val="both"/>
        <w:ind w:left="-656" w:firstLine="656"/>
        <w:spacing w:after="0" w:line="285"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Interest Payable upon Conversion in Certain Circumstances</w:t>
      </w:r>
      <w:r>
        <w:rPr>
          <w:rFonts w:ascii="Arial" w:cs="Arial" w:eastAsia="Arial" w:hAnsi="Arial"/>
          <w:sz w:val="16"/>
          <w:szCs w:val="16"/>
          <w:color w:val="auto"/>
        </w:rPr>
        <w:t>. If the Conversion Date of a Note is after a Regular Record Date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clause (i)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Holder surrendering such Note for conversion need not deliver such cash (w) if the Company has specified a Redemption Date that is after such Regular Record Date and on or before the Business Day immediately after such Interest Payment Date; (x) if such Conversion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Arial" w:cs="Arial" w:eastAsia="Arial" w:hAnsi="Arial"/>
          <w:sz w:val="16"/>
          <w:szCs w:val="16"/>
          <w:b w:val="1"/>
          <w:bCs w:val="1"/>
          <w:color w:val="auto"/>
        </w:rPr>
        <w:t>Section 5.02(D)</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656" w:firstLine="656"/>
        <w:spacing w:after="0" w:line="301" w:lineRule="auto"/>
        <w:tabs>
          <w:tab w:leader="none" w:pos="919"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Taxes and Duties. </w:t>
      </w:r>
      <w:r>
        <w:rPr>
          <w:rFonts w:ascii="Arial" w:cs="Arial" w:eastAsia="Arial" w:hAnsi="Arial"/>
          <w:sz w:val="16"/>
          <w:szCs w:val="16"/>
          <w:color w:val="auto"/>
        </w:rPr>
        <w:t>If a Holder converts a Note, the Company will pay any documentary, stamp or similar issue or transfer tax or duty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due on the issue or delivery of any shares of Common Stock upon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57" w:lineRule="exact"/>
        <w:rPr>
          <w:rFonts w:ascii="Arial" w:cs="Arial" w:eastAsia="Arial" w:hAnsi="Arial"/>
          <w:sz w:val="16"/>
          <w:szCs w:val="16"/>
          <w:color w:val="auto"/>
        </w:rPr>
      </w:pPr>
    </w:p>
    <w:p>
      <w:pPr>
        <w:jc w:val="both"/>
        <w:ind w:left="-656" w:firstLine="656"/>
        <w:spacing w:after="0" w:line="259" w:lineRule="auto"/>
        <w:tabs>
          <w:tab w:leader="none" w:pos="1183"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Conversion Agent to Notify Company of Conversions</w:t>
      </w:r>
      <w:r>
        <w:rPr>
          <w:rFonts w:ascii="Arial" w:cs="Arial" w:eastAsia="Arial" w:hAnsi="Arial"/>
          <w:sz w:val="18"/>
          <w:szCs w:val="18"/>
          <w:color w:val="auto"/>
        </w:rPr>
        <w:t>. If any Note is submitted for conversion to the Conversion Agent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4884" w:hanging="111"/>
        <w:spacing w:after="0"/>
        <w:tabs>
          <w:tab w:leader="none" w:pos="48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1" w:name="page52"/>
    <w:bookmarkEnd w:id="51"/>
    <w:p>
      <w:pPr>
        <w:spacing w:after="0"/>
        <w:tabs>
          <w:tab w:leader="none" w:pos="1180" w:val="left"/>
        </w:tabs>
        <w:rPr>
          <w:sz w:val="20"/>
          <w:szCs w:val="20"/>
          <w:color w:val="auto"/>
        </w:rPr>
      </w:pPr>
      <w:r>
        <w:rPr>
          <w:rFonts w:ascii="Arial" w:cs="Arial" w:eastAsia="Arial" w:hAnsi="Arial"/>
          <w:sz w:val="18"/>
          <w:szCs w:val="18"/>
          <w:b w:val="1"/>
          <w:bCs w:val="1"/>
          <w:color w:val="auto"/>
        </w:rPr>
        <w:t>Section 5.03.</w:t>
        <w:tab/>
        <w:t>S</w:t>
      </w:r>
      <w:r>
        <w:rPr>
          <w:rFonts w:ascii="Arial" w:cs="Arial" w:eastAsia="Arial" w:hAnsi="Arial"/>
          <w:sz w:val="12"/>
          <w:szCs w:val="12"/>
          <w:b w:val="1"/>
          <w:bCs w:val="1"/>
          <w:color w:val="auto"/>
        </w:rPr>
        <w:t>ETTLEMENT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11" w:lineRule="auto"/>
        <w:tabs>
          <w:tab w:leader="none" w:pos="1568"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Settlement Method</w:t>
      </w:r>
      <w:r>
        <w:rPr>
          <w:rFonts w:ascii="Arial" w:cs="Arial" w:eastAsia="Arial" w:hAnsi="Arial"/>
          <w:sz w:val="16"/>
          <w:szCs w:val="16"/>
          <w:color w:val="auto"/>
        </w:rPr>
        <w:t>. Upon the conversion of any Note, the Company will settle such conversion by paying or delivering,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as provided in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either (x) solely cash as provided in </w:t>
      </w:r>
      <w:r>
        <w:rPr>
          <w:rFonts w:ascii="Arial" w:cs="Arial" w:eastAsia="Arial" w:hAnsi="Arial"/>
          <w:sz w:val="16"/>
          <w:szCs w:val="16"/>
          <w:b w:val="1"/>
          <w:bCs w:val="1"/>
          <w:color w:val="auto"/>
        </w:rPr>
        <w:t>Section 5.03(B)(i)(1)</w:t>
      </w:r>
      <w:r>
        <w:rPr>
          <w:rFonts w:ascii="Arial" w:cs="Arial" w:eastAsia="Arial" w:hAnsi="Arial"/>
          <w:sz w:val="16"/>
          <w:szCs w:val="16"/>
          <w:color w:val="auto"/>
        </w:rPr>
        <w:t xml:space="preserve"> (a “</w:t>
      </w:r>
      <w:r>
        <w:rPr>
          <w:rFonts w:ascii="Arial" w:cs="Arial" w:eastAsia="Arial" w:hAnsi="Arial"/>
          <w:sz w:val="16"/>
          <w:szCs w:val="16"/>
          <w:b w:val="1"/>
          <w:bCs w:val="1"/>
          <w:color w:val="auto"/>
        </w:rPr>
        <w:t>Cash Settlement</w:t>
      </w:r>
      <w:r>
        <w:rPr>
          <w:rFonts w:ascii="Arial" w:cs="Arial" w:eastAsia="Arial" w:hAnsi="Arial"/>
          <w:sz w:val="16"/>
          <w:szCs w:val="16"/>
          <w:color w:val="auto"/>
        </w:rPr>
        <w:t xml:space="preserve">”); or (y) a combination of cash and shares of Common Stock, together, if applicable, with cash in lieu of fractional shares as provided in </w:t>
      </w:r>
      <w:r>
        <w:rPr>
          <w:rFonts w:ascii="Arial" w:cs="Arial" w:eastAsia="Arial" w:hAnsi="Arial"/>
          <w:sz w:val="16"/>
          <w:szCs w:val="16"/>
          <w:b w:val="1"/>
          <w:bCs w:val="1"/>
          <w:color w:val="auto"/>
        </w:rPr>
        <w:t>Section 5.03(B)(i)(2)</w:t>
      </w:r>
      <w:r>
        <w:rPr>
          <w:rFonts w:ascii="Arial" w:cs="Arial" w:eastAsia="Arial" w:hAnsi="Arial"/>
          <w:sz w:val="16"/>
          <w:szCs w:val="16"/>
          <w:color w:val="auto"/>
        </w:rPr>
        <w:t xml:space="preserve"> (a “</w:t>
      </w:r>
      <w:r>
        <w:rPr>
          <w:rFonts w:ascii="Arial" w:cs="Arial" w:eastAsia="Arial" w:hAnsi="Arial"/>
          <w:sz w:val="16"/>
          <w:szCs w:val="16"/>
          <w:b w:val="1"/>
          <w:bCs w:val="1"/>
          <w:color w:val="auto"/>
        </w:rPr>
        <w:t>Combination Settlement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660" w:right="20" w:firstLine="644"/>
        <w:spacing w:after="0" w:line="277" w:lineRule="auto"/>
        <w:tabs>
          <w:tab w:leader="none" w:pos="2607"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The Company’s Right to Elect Settlement Method</w:t>
      </w:r>
      <w:r>
        <w:rPr>
          <w:rFonts w:ascii="Arial" w:cs="Arial" w:eastAsia="Arial" w:hAnsi="Arial"/>
          <w:sz w:val="18"/>
          <w:szCs w:val="18"/>
          <w:color w:val="auto"/>
        </w:rPr>
        <w:t>. The Company will have the right to elect the Settlement Method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to any conversion of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66" w:lineRule="exact"/>
        <w:rPr>
          <w:rFonts w:ascii="Arial" w:cs="Arial" w:eastAsia="Arial" w:hAnsi="Arial"/>
          <w:sz w:val="18"/>
          <w:szCs w:val="18"/>
          <w:color w:val="auto"/>
        </w:rPr>
      </w:pPr>
    </w:p>
    <w:p>
      <w:pPr>
        <w:jc w:val="both"/>
        <w:ind w:left="1300" w:firstLine="652"/>
        <w:spacing w:after="0" w:line="261" w:lineRule="auto"/>
        <w:tabs>
          <w:tab w:leader="none" w:pos="2927"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w:t>
      </w:r>
      <w:r>
        <w:rPr>
          <w:rFonts w:ascii="Arial" w:cs="Arial" w:eastAsia="Arial" w:hAnsi="Arial"/>
          <w:sz w:val="18"/>
          <w:szCs w:val="18"/>
          <w:color w:val="auto"/>
        </w:rPr>
        <w:t xml:space="preserve"> below, all conversions of Notes with a Conversion Date that occurs on or after the fifty-fifth (55th) Scheduled Trading Day immediately before the Maturity Date will be settled using the same Settlement Method, and the Company will send notice of such Settlement Method to Holders and the Conversion Agent no later than the Open of Business on the fifty-fifth (55th) Scheduled Trading Day immediately before the Maturity Date;</w:t>
      </w:r>
    </w:p>
    <w:p>
      <w:pPr>
        <w:spacing w:after="0" w:line="179" w:lineRule="exact"/>
        <w:rPr>
          <w:rFonts w:ascii="Arial" w:cs="Arial" w:eastAsia="Arial" w:hAnsi="Arial"/>
          <w:sz w:val="18"/>
          <w:szCs w:val="18"/>
          <w:color w:val="auto"/>
        </w:rPr>
      </w:pPr>
    </w:p>
    <w:p>
      <w:pPr>
        <w:jc w:val="both"/>
        <w:ind w:left="1300" w:firstLine="652"/>
        <w:spacing w:after="0" w:line="261" w:lineRule="auto"/>
        <w:tabs>
          <w:tab w:leader="none" w:pos="2886"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w:t>
      </w:r>
      <w:r>
        <w:rPr>
          <w:rFonts w:ascii="Arial" w:cs="Arial" w:eastAsia="Arial" w:hAnsi="Arial"/>
          <w:sz w:val="18"/>
          <w:szCs w:val="18"/>
          <w:color w:val="auto"/>
        </w:rPr>
        <w:t xml:space="preserve"> below, if the Company elects a Settlement Method with respect to the conversion of any Note whose Conversion Date occurs before the fifth-fifth (55th) Scheduled Trading Day immediately before the Maturity Date, then the Company will send notice of such Settlement Method to the Holder of such Note and the Conversion Agent no later than the Close of Business on the Business Day immediately after such Conversion Date;</w:t>
      </w:r>
    </w:p>
    <w:p>
      <w:pPr>
        <w:spacing w:after="0" w:line="183" w:lineRule="exact"/>
        <w:rPr>
          <w:rFonts w:ascii="Arial" w:cs="Arial" w:eastAsia="Arial" w:hAnsi="Arial"/>
          <w:sz w:val="18"/>
          <w:szCs w:val="18"/>
          <w:color w:val="auto"/>
        </w:rPr>
      </w:pPr>
    </w:p>
    <w:p>
      <w:pPr>
        <w:jc w:val="both"/>
        <w:ind w:left="1300" w:firstLine="652"/>
        <w:spacing w:after="0" w:line="291" w:lineRule="auto"/>
        <w:tabs>
          <w:tab w:leader="none" w:pos="2900"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if any Notes are called for Redemption, then (1) the Company will specify, in the related Redemption Notice (and, in the case of a Redemption of less than all outstanding Notes, in a notice simultaneously sent to all Holders of Notes not called for Redemption) sent pursuant to </w:t>
      </w:r>
      <w:r>
        <w:rPr>
          <w:rFonts w:ascii="Arial" w:cs="Arial" w:eastAsia="Arial" w:hAnsi="Arial"/>
          <w:sz w:val="16"/>
          <w:szCs w:val="16"/>
          <w:b w:val="1"/>
          <w:bCs w:val="1"/>
          <w:color w:val="auto"/>
        </w:rPr>
        <w:t>Section 4.03(F)</w:t>
      </w:r>
      <w:r>
        <w:rPr>
          <w:rFonts w:ascii="Arial" w:cs="Arial" w:eastAsia="Arial" w:hAnsi="Arial"/>
          <w:sz w:val="16"/>
          <w:szCs w:val="16"/>
          <w:color w:val="auto"/>
        </w:rPr>
        <w:t xml:space="preserve">, the Settlement Method that will apply to all conversions of Notes with a Conversion Date that occurs on or after the related Redemption Notice Date and before the related Redemption Date; and (2) if such Redemption Date occurs on or after the fifty-fifth (55th) Scheduled Trading Day immediately before the Maturity Date, then such Settlement Method must be the same Settlement Method that, pursuant to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above, applies to all conversions of Notes with a Conversion Date that occurs on or after the fifty-fifth (55th) Scheduled Trading Day immediately before the Maturity Date;</w:t>
      </w:r>
    </w:p>
    <w:p>
      <w:pPr>
        <w:spacing w:after="0" w:line="166" w:lineRule="exact"/>
        <w:rPr>
          <w:rFonts w:ascii="Arial" w:cs="Arial" w:eastAsia="Arial" w:hAnsi="Arial"/>
          <w:sz w:val="16"/>
          <w:szCs w:val="16"/>
          <w:color w:val="auto"/>
        </w:rPr>
      </w:pPr>
    </w:p>
    <w:p>
      <w:pPr>
        <w:jc w:val="both"/>
        <w:ind w:left="1300" w:firstLine="652"/>
        <w:spacing w:after="0" w:line="311" w:lineRule="auto"/>
        <w:tabs>
          <w:tab w:leader="none" w:pos="2873"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the Company will use the same Settlement Method for all conversions of Notes with a Conversion Date that occurs on the same day (and, for the avoidance of doubt, the Company will not be obligated to use the same Settlement Method with respect to conversions of Notes whose Conversion Dates occur on different days, except as provided in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or </w:t>
      </w:r>
      <w:r>
        <w:rPr>
          <w:rFonts w:ascii="Arial" w:cs="Arial" w:eastAsia="Arial" w:hAnsi="Arial"/>
          <w:sz w:val="16"/>
          <w:szCs w:val="16"/>
          <w:b w:val="1"/>
          <w:bCs w:val="1"/>
          <w:color w:val="auto"/>
        </w:rPr>
        <w:t>(3)</w:t>
      </w:r>
      <w:r>
        <w:rPr>
          <w:rFonts w:ascii="Arial" w:cs="Arial" w:eastAsia="Arial" w:hAnsi="Arial"/>
          <w:sz w:val="16"/>
          <w:szCs w:val="16"/>
          <w:color w:val="auto"/>
        </w:rPr>
        <w:t xml:space="preserve"> above);</w:t>
      </w:r>
    </w:p>
    <w:p>
      <w:pPr>
        <w:spacing w:after="0" w:line="364" w:lineRule="exact"/>
        <w:rPr>
          <w:rFonts w:ascii="Arial" w:cs="Arial" w:eastAsia="Arial" w:hAnsi="Arial"/>
          <w:sz w:val="16"/>
          <w:szCs w:val="16"/>
          <w:color w:val="auto"/>
        </w:rPr>
      </w:pPr>
    </w:p>
    <w:p>
      <w:pPr>
        <w:ind w:left="5540" w:hanging="111"/>
        <w:spacing w:after="0"/>
        <w:tabs>
          <w:tab w:leader="none" w:pos="5540" w:val="left"/>
        </w:tabs>
        <w:numPr>
          <w:ilvl w:val="3"/>
          <w:numId w:val="60"/>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644" w:firstLine="652"/>
        <w:spacing w:after="0" w:line="263" w:lineRule="auto"/>
        <w:tabs>
          <w:tab w:leader="none" w:pos="2446" w:val="left"/>
        </w:tabs>
        <w:numPr>
          <w:ilvl w:val="2"/>
          <w:numId w:val="61"/>
        </w:numPr>
        <w:rPr>
          <w:rFonts w:ascii="Arial" w:cs="Arial" w:eastAsia="Arial" w:hAnsi="Arial"/>
          <w:sz w:val="18"/>
          <w:szCs w:val="18"/>
          <w:color w:val="auto"/>
        </w:rPr>
      </w:pPr>
      <w:r>
        <w:rPr>
          <w:rFonts w:ascii="Arial" w:cs="Arial" w:eastAsia="Arial" w:hAnsi="Arial"/>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183" w:lineRule="exact"/>
        <w:rPr>
          <w:rFonts w:ascii="Arial" w:cs="Arial" w:eastAsia="Arial" w:hAnsi="Arial"/>
          <w:sz w:val="18"/>
          <w:szCs w:val="18"/>
          <w:color w:val="auto"/>
        </w:rPr>
      </w:pPr>
    </w:p>
    <w:p>
      <w:pPr>
        <w:jc w:val="both"/>
        <w:ind w:left="644" w:firstLine="652"/>
        <w:spacing w:after="0" w:line="259" w:lineRule="auto"/>
        <w:tabs>
          <w:tab w:leader="none" w:pos="2257" w:val="left"/>
        </w:tabs>
        <w:numPr>
          <w:ilvl w:val="2"/>
          <w:numId w:val="61"/>
        </w:numPr>
        <w:rPr>
          <w:rFonts w:ascii="Arial" w:cs="Arial" w:eastAsia="Arial" w:hAnsi="Arial"/>
          <w:sz w:val="18"/>
          <w:szCs w:val="18"/>
          <w:color w:val="auto"/>
        </w:rPr>
      </w:pPr>
      <w:r>
        <w:rPr>
          <w:rFonts w:ascii="Arial" w:cs="Arial" w:eastAsia="Arial" w:hAnsi="Arial"/>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86" w:lineRule="exact"/>
        <w:rPr>
          <w:rFonts w:ascii="Arial" w:cs="Arial" w:eastAsia="Arial" w:hAnsi="Arial"/>
          <w:sz w:val="18"/>
          <w:szCs w:val="18"/>
          <w:color w:val="auto"/>
        </w:rPr>
      </w:pPr>
    </w:p>
    <w:p>
      <w:pPr>
        <w:ind w:left="2184" w:hanging="888"/>
        <w:spacing w:after="0"/>
        <w:tabs>
          <w:tab w:leader="none" w:pos="2184"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Settlement Method will be subject to Sections 5.09(A)(2)and 5.01(C)(i)(3)(a).</w:t>
      </w:r>
    </w:p>
    <w:p>
      <w:pPr>
        <w:spacing w:after="0" w:line="225" w:lineRule="exact"/>
        <w:rPr>
          <w:rFonts w:ascii="Arial" w:cs="Arial" w:eastAsia="Arial" w:hAnsi="Arial"/>
          <w:sz w:val="18"/>
          <w:szCs w:val="18"/>
          <w:color w:val="auto"/>
        </w:rPr>
      </w:pPr>
    </w:p>
    <w:p>
      <w:pPr>
        <w:jc w:val="both"/>
        <w:ind w:left="4" w:firstLine="644"/>
        <w:spacing w:after="0" w:line="283" w:lineRule="auto"/>
        <w:tabs>
          <w:tab w:leader="none" w:pos="1569"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The Company’s Right to Irrevocably Fix the Settlement Method</w:t>
      </w:r>
      <w:r>
        <w:rPr>
          <w:rFonts w:ascii="Arial" w:cs="Arial" w:eastAsia="Arial" w:hAnsi="Arial"/>
          <w:sz w:val="16"/>
          <w:szCs w:val="16"/>
          <w:color w:val="auto"/>
        </w:rPr>
        <w:t>. The Company will have the right, exercisable at its 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elect Combination Settlement to apply to all conversions of Notes with a Conversion Date that occurs on or after the date such notice is sent to Holders, and eliminate a Specified Cash Amount or range of Specified Cash Amounts that will apply to such conversions,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(v) the Settlement Method(s) so elected pursuant to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or </w:t>
      </w:r>
      <w:r>
        <w:rPr>
          <w:rFonts w:ascii="Arial" w:cs="Arial" w:eastAsia="Arial" w:hAnsi="Arial"/>
          <w:sz w:val="16"/>
          <w:szCs w:val="16"/>
          <w:b w:val="1"/>
          <w:bCs w:val="1"/>
          <w:color w:val="auto"/>
        </w:rPr>
        <w:t>(2)</w:t>
      </w:r>
      <w:r>
        <w:rPr>
          <w:rFonts w:ascii="Arial" w:cs="Arial" w:eastAsia="Arial" w:hAnsi="Arial"/>
          <w:sz w:val="16"/>
          <w:szCs w:val="16"/>
          <w:color w:val="auto"/>
        </w:rPr>
        <w:t xml:space="preserve"> above must be a Settlement Method or Settlement Method(s), as applicable, that the Company is then permitted to elect (for the avoidance of doubt, including pursuant to, and subject to, the other provisions of this </w:t>
      </w:r>
      <w:r>
        <w:rPr>
          <w:rFonts w:ascii="Arial" w:cs="Arial" w:eastAsia="Arial" w:hAnsi="Arial"/>
          <w:sz w:val="16"/>
          <w:szCs w:val="16"/>
          <w:b w:val="1"/>
          <w:bCs w:val="1"/>
          <w:color w:val="auto"/>
        </w:rPr>
        <w:t>Section 5.03(A)</w:t>
      </w:r>
      <w:r>
        <w:rPr>
          <w:rFonts w:ascii="Arial" w:cs="Arial" w:eastAsia="Arial" w:hAnsi="Arial"/>
          <w:sz w:val="16"/>
          <w:szCs w:val="16"/>
          <w:color w:val="auto"/>
        </w:rPr>
        <w:t xml:space="preserve">); (w) no such irrevocable election will affect any Settlement Method theretofore elected (or deemed to be elected) with respect to any Note pursuant to the other provisions of this </w:t>
      </w:r>
      <w:r>
        <w:rPr>
          <w:rFonts w:ascii="Arial" w:cs="Arial" w:eastAsia="Arial" w:hAnsi="Arial"/>
          <w:sz w:val="16"/>
          <w:szCs w:val="16"/>
          <w:b w:val="1"/>
          <w:bCs w:val="1"/>
          <w:color w:val="auto"/>
        </w:rPr>
        <w:t>Section 5.03(A)</w:t>
      </w:r>
      <w:r>
        <w:rPr>
          <w:rFonts w:ascii="Arial" w:cs="Arial" w:eastAsia="Arial" w:hAnsi="Arial"/>
          <w:sz w:val="16"/>
          <w:szCs w:val="16"/>
          <w:color w:val="auto"/>
        </w:rPr>
        <w:t xml:space="preserve">; (x) in no event will the Company elect Combination Settlement with a specified dollar amount that is less than $1,000 per $1,000 principal amount of Notes; (y) upon any such irrevocable election pursuant to </w:t>
      </w:r>
      <w:r>
        <w:rPr>
          <w:rFonts w:ascii="Arial" w:cs="Arial" w:eastAsia="Arial" w:hAnsi="Arial"/>
          <w:sz w:val="16"/>
          <w:szCs w:val="16"/>
          <w:b w:val="1"/>
          <w:bCs w:val="1"/>
          <w:color w:val="auto"/>
        </w:rPr>
        <w:t>clause</w:t>
      </w:r>
    </w:p>
    <w:p>
      <w:pPr>
        <w:spacing w:after="0" w:line="4" w:lineRule="exact"/>
        <w:rPr>
          <w:rFonts w:ascii="Arial" w:cs="Arial" w:eastAsia="Arial" w:hAnsi="Arial"/>
          <w:sz w:val="16"/>
          <w:szCs w:val="16"/>
          <w:color w:val="auto"/>
        </w:rPr>
      </w:pPr>
    </w:p>
    <w:p>
      <w:pPr>
        <w:jc w:val="both"/>
        <w:ind w:left="4" w:hanging="4"/>
        <w:spacing w:after="0" w:line="269" w:lineRule="auto"/>
        <w:tabs>
          <w:tab w:leader="none" w:pos="284"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 xml:space="preserve">above, the Default Settlement Method will automatically be deemed to be set to the Settlement Method so fixed; and (z) upon any such irrevocable election pursuant to </w:t>
      </w:r>
      <w:r>
        <w:rPr>
          <w:rFonts w:ascii="Arial" w:cs="Arial" w:eastAsia="Arial" w:hAnsi="Arial"/>
          <w:sz w:val="17"/>
          <w:szCs w:val="17"/>
          <w:b w:val="1"/>
          <w:bCs w:val="1"/>
          <w:color w:val="auto"/>
        </w:rPr>
        <w:t>clause (2)</w:t>
      </w:r>
      <w:r>
        <w:rPr>
          <w:rFonts w:ascii="Arial" w:cs="Arial" w:eastAsia="Arial" w:hAnsi="Arial"/>
          <w:sz w:val="17"/>
          <w:szCs w:val="17"/>
          <w:color w:val="auto"/>
        </w:rPr>
        <w:t xml:space="preserve"> above, the Company will, if needed, simultaneously change the Default Settlement Method to Combination Settlement with a Specified Dollar Amount that is consistent with such irrevocable election. Such notice, if sent, must set forth the applicable Settlement Method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Arial" w:cs="Arial" w:eastAsia="Arial" w:hAnsi="Arial"/>
          <w:sz w:val="17"/>
          <w:szCs w:val="17"/>
          <w:b w:val="1"/>
          <w:bCs w:val="1"/>
          <w:color w:val="auto"/>
        </w:rPr>
        <w:t>Section 8.01(G)</w:t>
      </w:r>
      <w:r>
        <w:rPr>
          <w:rFonts w:ascii="Arial" w:cs="Arial" w:eastAsia="Arial" w:hAnsi="Arial"/>
          <w:sz w:val="17"/>
          <w:szCs w:val="17"/>
          <w:color w:val="auto"/>
        </w:rPr>
        <w:t xml:space="preserve"> (it being understood, however, that the Company may nonetheless choose to execute such an amendment at its option).</w:t>
      </w:r>
    </w:p>
    <w:p>
      <w:pPr>
        <w:spacing w:after="0" w:line="180" w:lineRule="exact"/>
        <w:rPr>
          <w:rFonts w:ascii="Arial" w:cs="Arial" w:eastAsia="Arial" w:hAnsi="Arial"/>
          <w:sz w:val="17"/>
          <w:szCs w:val="17"/>
          <w:b w:val="1"/>
          <w:bCs w:val="1"/>
          <w:color w:val="auto"/>
        </w:rPr>
      </w:pPr>
    </w:p>
    <w:p>
      <w:pPr>
        <w:jc w:val="both"/>
        <w:ind w:left="4" w:firstLine="644"/>
        <w:spacing w:after="0" w:line="259" w:lineRule="auto"/>
        <w:tabs>
          <w:tab w:leader="none" w:pos="1583"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Requirement to Publicly Disclose the Fixed or Default Settlement Method. </w:t>
      </w:r>
      <w:r>
        <w:rPr>
          <w:rFonts w:ascii="Arial" w:cs="Arial" w:eastAsia="Arial" w:hAnsi="Arial"/>
          <w:sz w:val="18"/>
          <w:szCs w:val="18"/>
          <w:color w:val="auto"/>
        </w:rPr>
        <w:t>If the Company changes the Default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Method pursuant to </w:t>
      </w:r>
      <w:r>
        <w:rPr>
          <w:rFonts w:ascii="Arial" w:cs="Arial" w:eastAsia="Arial" w:hAnsi="Arial"/>
          <w:sz w:val="18"/>
          <w:szCs w:val="18"/>
          <w:b w:val="1"/>
          <w:bCs w:val="1"/>
          <w:color w:val="auto"/>
        </w:rPr>
        <w:t>clause (x)</w:t>
      </w:r>
      <w:r>
        <w:rPr>
          <w:rFonts w:ascii="Arial" w:cs="Arial" w:eastAsia="Arial" w:hAnsi="Arial"/>
          <w:sz w:val="18"/>
          <w:szCs w:val="18"/>
          <w:color w:val="auto"/>
        </w:rPr>
        <w:t xml:space="preserve"> of the proviso to the definition of such term or irrevocably fixes the Settlement Method(s) pursuant </w:t>
      </w:r>
      <w:r>
        <w:rPr>
          <w:rFonts w:ascii="Arial" w:cs="Arial" w:eastAsia="Arial" w:hAnsi="Arial"/>
          <w:sz w:val="18"/>
          <w:szCs w:val="18"/>
          <w:b w:val="1"/>
          <w:bCs w:val="1"/>
          <w:color w:val="auto"/>
        </w:rPr>
        <w:t>Section 5.03(A)</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then the Company will either post the Default Settlement Method or fixed Settlement Method(s), as applicable, on its website or disclose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in a Current Report on Form 8-K (or any successor form) that is filed with the SEC.</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4884" w:hanging="111"/>
        <w:spacing w:after="0"/>
        <w:tabs>
          <w:tab w:leader="none" w:pos="4884" w:val="left"/>
        </w:tabs>
        <w:numPr>
          <w:ilvl w:val="3"/>
          <w:numId w:val="63"/>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3" w:name="page54"/>
    <w:bookmarkEnd w:id="53"/>
    <w:p>
      <w:pPr>
        <w:ind w:left="864" w:hanging="864"/>
        <w:spacing w:after="0"/>
        <w:tabs>
          <w:tab w:leader="none" w:pos="864"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Conversion Consideration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4" w:firstLine="644"/>
        <w:spacing w:after="0" w:line="282" w:lineRule="auto"/>
        <w:tabs>
          <w:tab w:leader="none" w:pos="1721"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5.03(B)(i)</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5.03(B)(ii)</w:t>
      </w:r>
      <w:r>
        <w:rPr>
          <w:rFonts w:ascii="Arial" w:cs="Arial" w:eastAsia="Arial" w:hAnsi="Arial"/>
          <w:sz w:val="18"/>
          <w:szCs w:val="18"/>
          <w:color w:val="auto"/>
        </w:rPr>
        <w:t>, the type and amount of consideration (the “</w:t>
      </w:r>
      <w:r>
        <w:rPr>
          <w:rFonts w:ascii="Arial" w:cs="Arial" w:eastAsia="Arial" w:hAnsi="Arial"/>
          <w:sz w:val="18"/>
          <w:szCs w:val="18"/>
          <w:b w:val="1"/>
          <w:bCs w:val="1"/>
          <w:color w:val="auto"/>
        </w:rPr>
        <w:t>Conversion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Consideration</w:t>
      </w:r>
      <w:r>
        <w:rPr>
          <w:rFonts w:ascii="Arial" w:cs="Arial" w:eastAsia="Arial" w:hAnsi="Arial"/>
          <w:sz w:val="18"/>
          <w:szCs w:val="18"/>
          <w:color w:val="auto"/>
        </w:rPr>
        <w:t>”) due in respect of each $1,000 principal amount of a Note to be converted will be as follows:</w:t>
      </w:r>
    </w:p>
    <w:p>
      <w:pPr>
        <w:spacing w:after="0" w:line="165" w:lineRule="exact"/>
        <w:rPr>
          <w:rFonts w:ascii="Arial" w:cs="Arial" w:eastAsia="Arial" w:hAnsi="Arial"/>
          <w:sz w:val="18"/>
          <w:szCs w:val="18"/>
          <w:color w:val="auto"/>
        </w:rPr>
      </w:pPr>
    </w:p>
    <w:p>
      <w:pPr>
        <w:ind w:left="644" w:firstLine="652"/>
        <w:spacing w:after="0" w:line="277" w:lineRule="auto"/>
        <w:tabs>
          <w:tab w:leader="none" w:pos="2257"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Cash Settlement applies to such conversion, cash in an amount equal to the sum of the Daily Conversion Values for each VWAP Trading Day in the Observation Period for such conversion; or</w:t>
      </w:r>
    </w:p>
    <w:p>
      <w:pPr>
        <w:spacing w:after="0" w:line="170" w:lineRule="exact"/>
        <w:rPr>
          <w:rFonts w:ascii="Arial" w:cs="Arial" w:eastAsia="Arial" w:hAnsi="Arial"/>
          <w:sz w:val="18"/>
          <w:szCs w:val="18"/>
          <w:color w:val="auto"/>
        </w:rPr>
      </w:pPr>
    </w:p>
    <w:p>
      <w:pPr>
        <w:jc w:val="both"/>
        <w:ind w:left="644" w:firstLine="652"/>
        <w:spacing w:after="0" w:line="259" w:lineRule="auto"/>
        <w:tabs>
          <w:tab w:leader="none" w:pos="25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86" w:lineRule="exact"/>
        <w:rPr>
          <w:rFonts w:ascii="Arial" w:cs="Arial" w:eastAsia="Arial" w:hAnsi="Arial"/>
          <w:sz w:val="18"/>
          <w:szCs w:val="18"/>
          <w:color w:val="auto"/>
        </w:rPr>
      </w:pPr>
    </w:p>
    <w:p>
      <w:pPr>
        <w:jc w:val="both"/>
        <w:ind w:left="4" w:firstLine="644"/>
        <w:spacing w:after="0" w:line="257" w:lineRule="auto"/>
        <w:tabs>
          <w:tab w:leader="none" w:pos="1515"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Cash in Lieu of Fractional Shares</w:t>
      </w:r>
      <w:r>
        <w:rPr>
          <w:rFonts w:ascii="Arial" w:cs="Arial" w:eastAsia="Arial" w:hAnsi="Arial"/>
          <w:sz w:val="18"/>
          <w:szCs w:val="18"/>
          <w:color w:val="auto"/>
        </w:rPr>
        <w:t>. If Combination Settlement applies to the conversion of any Note and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Common Stock deliverable pursuant to </w:t>
      </w:r>
      <w:r>
        <w:rPr>
          <w:rFonts w:ascii="Arial" w:cs="Arial" w:eastAsia="Arial" w:hAnsi="Arial"/>
          <w:sz w:val="18"/>
          <w:szCs w:val="18"/>
          <w:b w:val="1"/>
          <w:bCs w:val="1"/>
          <w:color w:val="auto"/>
        </w:rPr>
        <w:t>Section 5.03(B)(i)</w:t>
      </w:r>
      <w:r>
        <w:rPr>
          <w:rFonts w:ascii="Arial" w:cs="Arial" w:eastAsia="Arial" w:hAnsi="Arial"/>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the Daily VWAP on the last VWAP Trading Day of the Observation Period for such conversion.</w:t>
      </w:r>
    </w:p>
    <w:p>
      <w:pPr>
        <w:spacing w:after="0" w:line="187" w:lineRule="exact"/>
        <w:rPr>
          <w:rFonts w:ascii="Arial" w:cs="Arial" w:eastAsia="Arial" w:hAnsi="Arial"/>
          <w:sz w:val="18"/>
          <w:szCs w:val="18"/>
          <w:color w:val="auto"/>
        </w:rPr>
      </w:pPr>
    </w:p>
    <w:p>
      <w:pPr>
        <w:jc w:val="both"/>
        <w:ind w:left="4" w:firstLine="644"/>
        <w:spacing w:after="0" w:line="259" w:lineRule="auto"/>
        <w:tabs>
          <w:tab w:leader="none" w:pos="1543"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Multiple Notes by a Single Holder. </w:t>
      </w:r>
      <w:r>
        <w:rPr>
          <w:rFonts w:ascii="Arial" w:cs="Arial" w:eastAsia="Arial" w:hAnsi="Arial"/>
          <w:sz w:val="18"/>
          <w:szCs w:val="18"/>
          <w:color w:val="auto"/>
        </w:rPr>
        <w:t>If a Holder converts more than one (1) Note on a single Conversion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86" w:lineRule="exact"/>
        <w:rPr>
          <w:rFonts w:ascii="Arial" w:cs="Arial" w:eastAsia="Arial" w:hAnsi="Arial"/>
          <w:sz w:val="18"/>
          <w:szCs w:val="18"/>
          <w:color w:val="auto"/>
        </w:rPr>
      </w:pPr>
    </w:p>
    <w:p>
      <w:pPr>
        <w:jc w:val="both"/>
        <w:ind w:left="4" w:firstLine="644"/>
        <w:spacing w:after="0" w:line="259" w:lineRule="auto"/>
        <w:tabs>
          <w:tab w:leader="none" w:pos="1658"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Notice of Calculation of Conversion Consideration</w:t>
      </w:r>
      <w:r>
        <w:rPr>
          <w:rFonts w:ascii="Arial" w:cs="Arial" w:eastAsia="Arial" w:hAnsi="Arial"/>
          <w:sz w:val="18"/>
          <w:szCs w:val="18"/>
          <w:color w:val="auto"/>
        </w:rPr>
        <w:t>. If any Note is to be converted, then the Company will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82" w:lineRule="exact"/>
        <w:rPr>
          <w:rFonts w:ascii="Arial" w:cs="Arial" w:eastAsia="Arial" w:hAnsi="Arial"/>
          <w:sz w:val="18"/>
          <w:szCs w:val="18"/>
          <w:color w:val="auto"/>
        </w:rPr>
      </w:pPr>
    </w:p>
    <w:p>
      <w:pPr>
        <w:jc w:val="both"/>
        <w:ind w:left="-656" w:firstLine="656"/>
        <w:spacing w:after="0" w:line="266" w:lineRule="auto"/>
        <w:tabs>
          <w:tab w:leader="none" w:pos="1082"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Delivery of the Conversion Consideration</w:t>
      </w:r>
      <w:r>
        <w:rPr>
          <w:rFonts w:ascii="Arial" w:cs="Arial" w:eastAsia="Arial" w:hAnsi="Arial"/>
          <w:sz w:val="18"/>
          <w:szCs w:val="18"/>
          <w:color w:val="auto"/>
        </w:rPr>
        <w:t>. Except as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5.05(D)</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5.09</w:t>
      </w:r>
      <w:r>
        <w:rPr>
          <w:rFonts w:ascii="Arial" w:cs="Arial" w:eastAsia="Arial" w:hAnsi="Arial"/>
          <w:sz w:val="18"/>
          <w:szCs w:val="18"/>
          <w:color w:val="auto"/>
        </w:rPr>
        <w:t>, the Company will pay or deliver,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the Conversion Consideration due upon the conversion of any Note to the Holder on the second (2nd) Business Day immediately after the last VWAP Trading Day of the Observation Period for such conversion.</w:t>
      </w:r>
    </w:p>
    <w:p>
      <w:pPr>
        <w:spacing w:after="0" w:line="179" w:lineRule="exact"/>
        <w:rPr>
          <w:rFonts w:ascii="Arial" w:cs="Arial" w:eastAsia="Arial" w:hAnsi="Arial"/>
          <w:sz w:val="18"/>
          <w:szCs w:val="18"/>
          <w:color w:val="auto"/>
        </w:rPr>
      </w:pPr>
    </w:p>
    <w:p>
      <w:pPr>
        <w:jc w:val="both"/>
        <w:ind w:left="-656" w:firstLine="656"/>
        <w:spacing w:after="0" w:line="272" w:lineRule="auto"/>
        <w:tabs>
          <w:tab w:leader="none" w:pos="925"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Deemed Payment of Principal and Interest; Settlement of Accrued Interest Notwithstanding Conversion</w:t>
      </w:r>
      <w:r>
        <w:rPr>
          <w:rFonts w:ascii="Arial" w:cs="Arial" w:eastAsia="Arial" w:hAnsi="Arial"/>
          <w:sz w:val="17"/>
          <w:szCs w:val="17"/>
          <w:color w:val="auto"/>
        </w:rPr>
        <w:t>. If a Holder converts a Note,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then the Company will not adjust the Conversion Rate to account for any accrued and unpaid interest on such Note, and, except as provided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5.02(D)</w:t>
      </w:r>
      <w:r>
        <w:rPr>
          <w:rFonts w:ascii="Arial" w:cs="Arial" w:eastAsia="Arial" w:hAnsi="Arial"/>
          <w:sz w:val="17"/>
          <w:szCs w:val="17"/>
          <w:color w:val="auto"/>
        </w:rPr>
        <w:t>, the Company’s delivery of the Conversion Consideration due in respect of such conversion will be deemed to fully satisfy and discharge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Company’s obligation to pay the principal of, and accrued and unpaid interest, if any, on, such Note to, but excluding the Conversion Date. As a result, except as provided in </w:t>
      </w:r>
      <w:r>
        <w:rPr>
          <w:rFonts w:ascii="Arial" w:cs="Arial" w:eastAsia="Arial" w:hAnsi="Arial"/>
          <w:sz w:val="17"/>
          <w:szCs w:val="17"/>
          <w:b w:val="1"/>
          <w:bCs w:val="1"/>
          <w:color w:val="auto"/>
        </w:rPr>
        <w:t>Section 5.02(D)</w:t>
      </w:r>
      <w:r>
        <w:rPr>
          <w:rFonts w:ascii="Arial" w:cs="Arial" w:eastAsia="Arial" w:hAnsi="Arial"/>
          <w:sz w:val="17"/>
          <w:szCs w:val="17"/>
          <w:color w:val="auto"/>
        </w:rPr>
        <w:t xml:space="preserve">, any accrued and unpaid interest on a converted Note will be deemed to be paid in full rather than cancelled, extinguished or forfeited. In addition, subject to </w:t>
      </w:r>
      <w:r>
        <w:rPr>
          <w:rFonts w:ascii="Arial" w:cs="Arial" w:eastAsia="Arial" w:hAnsi="Arial"/>
          <w:sz w:val="17"/>
          <w:szCs w:val="17"/>
          <w:b w:val="1"/>
          <w:bCs w:val="1"/>
          <w:color w:val="auto"/>
        </w:rPr>
        <w:t>Section 5.02(D)</w:t>
      </w:r>
      <w:r>
        <w:rPr>
          <w:rFonts w:ascii="Arial" w:cs="Arial" w:eastAsia="Arial" w:hAnsi="Arial"/>
          <w:sz w:val="17"/>
          <w:szCs w:val="17"/>
          <w:color w:val="auto"/>
        </w:rPr>
        <w:t>, if the Conversion Consideration for a Note consists of both cash and shares of the Common Stock, then accrued and unpaid interest that is deemed to be paid therewith will be deemed to be paid first out of such cash.</w:t>
      </w:r>
    </w:p>
    <w:p>
      <w:pPr>
        <w:spacing w:after="0" w:line="393" w:lineRule="exact"/>
        <w:rPr>
          <w:rFonts w:ascii="Arial" w:cs="Arial" w:eastAsia="Arial" w:hAnsi="Arial"/>
          <w:sz w:val="17"/>
          <w:szCs w:val="17"/>
          <w:color w:val="auto"/>
        </w:rPr>
      </w:pPr>
    </w:p>
    <w:p>
      <w:pPr>
        <w:ind w:left="4884" w:hanging="111"/>
        <w:spacing w:after="0"/>
        <w:tabs>
          <w:tab w:leader="none" w:pos="4884" w:val="left"/>
        </w:tabs>
        <w:numPr>
          <w:ilvl w:val="3"/>
          <w:numId w:val="64"/>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4" w:name="page55"/>
    <w:bookmarkEnd w:id="54"/>
    <w:p>
      <w:pPr>
        <w:spacing w:after="0"/>
        <w:tabs>
          <w:tab w:leader="none" w:pos="1180" w:val="left"/>
        </w:tabs>
        <w:rPr>
          <w:sz w:val="20"/>
          <w:szCs w:val="20"/>
          <w:color w:val="auto"/>
        </w:rPr>
      </w:pPr>
      <w:r>
        <w:rPr>
          <w:rFonts w:ascii="Arial" w:cs="Arial" w:eastAsia="Arial" w:hAnsi="Arial"/>
          <w:sz w:val="18"/>
          <w:szCs w:val="18"/>
          <w:b w:val="1"/>
          <w:bCs w:val="1"/>
          <w:color w:val="auto"/>
        </w:rPr>
        <w:t>Section 5.04.</w:t>
        <w:tab/>
        <w:t>R</w:t>
      </w:r>
      <w:r>
        <w:rPr>
          <w:rFonts w:ascii="Arial" w:cs="Arial" w:eastAsia="Arial" w:hAnsi="Arial"/>
          <w:sz w:val="12"/>
          <w:szCs w:val="12"/>
          <w:b w:val="1"/>
          <w:bCs w:val="1"/>
          <w:color w:val="auto"/>
        </w:rPr>
        <w:t>ESERVE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TATUS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SSUED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797"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Stock Reserve</w:t>
      </w:r>
      <w:r>
        <w:rPr>
          <w:rFonts w:ascii="Arial" w:cs="Arial" w:eastAsia="Arial" w:hAnsi="Arial"/>
          <w:sz w:val="17"/>
          <w:szCs w:val="17"/>
          <w:color w:val="auto"/>
        </w:rPr>
        <w:t>. At all times when any Notes are outstanding, the Company will reserve, out of its authorized but unissued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unreserved shares of Common Stock, a number of shares of Common Stock equal to the product of (i) the aggregate principal amount (expressed in thousands) of all then-outstanding Notes; and (ii) the Conversion Rate then in effect (assuming, for these purposes, that the Conversion Rate is increased by the maximum amount pursuant to which the Conversion Rate may be increased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656"/>
        <w:spacing w:after="0" w:line="254" w:lineRule="auto"/>
        <w:tabs>
          <w:tab w:leader="none" w:pos="1544"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Status of Conversion Shares; Listing</w:t>
      </w:r>
      <w:r>
        <w:rPr>
          <w:rFonts w:ascii="Arial" w:cs="Arial" w:eastAsia="Arial" w:hAnsi="Arial"/>
          <w:sz w:val="18"/>
          <w:szCs w:val="18"/>
          <w:color w:val="auto"/>
        </w:rPr>
        <w:t>. Each Conversion Share, if any, delivered upon conversion of any Note will be a newly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treasury share (except that any Conversion Share delivered by a designated financial institution pursuant to </w:t>
      </w:r>
      <w:r>
        <w:rPr>
          <w:rFonts w:ascii="Arial" w:cs="Arial" w:eastAsia="Arial" w:hAnsi="Arial"/>
          <w:sz w:val="18"/>
          <w:szCs w:val="18"/>
          <w:b w:val="1"/>
          <w:bCs w:val="1"/>
          <w:color w:val="auto"/>
        </w:rPr>
        <w:t>Section 5.08</w:t>
      </w:r>
      <w:r>
        <w:rPr>
          <w:rFonts w:ascii="Arial" w:cs="Arial" w:eastAsia="Arial" w:hAnsi="Arial"/>
          <w:sz w:val="18"/>
          <w:szCs w:val="18"/>
          <w:color w:val="auto"/>
        </w:rPr>
        <w:t xml:space="preserve"> need not be a newly issued or 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5.05.</w:t>
        <w:tab/>
        <w:t>A</w:t>
      </w:r>
      <w:r>
        <w:rPr>
          <w:rFonts w:ascii="Arial" w:cs="Arial" w:eastAsia="Arial" w:hAnsi="Arial"/>
          <w:sz w:val="12"/>
          <w:szCs w:val="12"/>
          <w:b w:val="1"/>
          <w:bCs w:val="1"/>
          <w:color w:val="auto"/>
        </w:rPr>
        <w:t>DJUSTMENTS 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ATE</w:t>
      </w:r>
      <w:r>
        <w:rPr>
          <w:rFonts w:ascii="Arial" w:cs="Arial" w:eastAsia="Arial" w:hAnsi="Arial"/>
          <w:sz w:val="18"/>
          <w:szCs w:val="18"/>
          <w:b w:val="1"/>
          <w:bCs w:val="1"/>
          <w:color w:val="auto"/>
        </w:rPr>
        <w:t>.</w:t>
      </w:r>
    </w:p>
    <w:p>
      <w:pPr>
        <w:spacing w:after="0" w:line="229" w:lineRule="exact"/>
        <w:rPr>
          <w:sz w:val="20"/>
          <w:szCs w:val="20"/>
          <w:color w:val="auto"/>
        </w:rPr>
      </w:pPr>
    </w:p>
    <w:p>
      <w:pPr>
        <w:ind w:left="1540" w:hanging="884"/>
        <w:spacing w:after="0"/>
        <w:tabs>
          <w:tab w:leader="none" w:pos="154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Events Requiring an Adjustment to the Conversion Rate</w:t>
      </w:r>
      <w:r>
        <w:rPr>
          <w:rFonts w:ascii="Arial" w:cs="Arial" w:eastAsia="Arial" w:hAnsi="Arial"/>
          <w:sz w:val="17"/>
          <w:szCs w:val="17"/>
          <w:color w:val="auto"/>
        </w:rPr>
        <w:t>. The Conversion Rate will be adjusted from time to time as follows:</w:t>
      </w:r>
    </w:p>
    <w:p>
      <w:pPr>
        <w:spacing w:after="0" w:line="236" w:lineRule="exact"/>
        <w:rPr>
          <w:rFonts w:ascii="Arial" w:cs="Arial" w:eastAsia="Arial" w:hAnsi="Arial"/>
          <w:sz w:val="17"/>
          <w:szCs w:val="17"/>
          <w:color w:val="auto"/>
        </w:rPr>
      </w:pPr>
    </w:p>
    <w:p>
      <w:pPr>
        <w:jc w:val="both"/>
        <w:ind w:left="660" w:firstLine="644"/>
        <w:spacing w:after="0" w:line="259" w:lineRule="auto"/>
        <w:tabs>
          <w:tab w:leader="none" w:pos="2620"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Stock Dividends, Splits and Combinations</w:t>
      </w:r>
      <w:r>
        <w:rPr>
          <w:rFonts w:ascii="Arial" w:cs="Arial" w:eastAsia="Arial" w:hAnsi="Arial"/>
          <w:sz w:val="18"/>
          <w:szCs w:val="18"/>
          <w:color w:val="auto"/>
        </w:rPr>
        <w:t>. If the Company issues solely shares of Common Stock as a dividend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on all or substantially all shares of the Common Stock, or if the Company effects a stock split or a stock combination of the Common Stock (in each case excluding an issuance solely pursuant to a Common Stock Change Event, as to which </w:t>
      </w:r>
      <w:r>
        <w:rPr>
          <w:rFonts w:ascii="Arial" w:cs="Arial" w:eastAsia="Arial" w:hAnsi="Arial"/>
          <w:sz w:val="18"/>
          <w:szCs w:val="18"/>
          <w:b w:val="1"/>
          <w:bCs w:val="1"/>
          <w:color w:val="auto"/>
        </w:rPr>
        <w:t>Section 5.09</w:t>
      </w:r>
      <w:r>
        <w:rPr>
          <w:rFonts w:ascii="Arial" w:cs="Arial" w:eastAsia="Arial" w:hAnsi="Arial"/>
          <w:sz w:val="18"/>
          <w:szCs w:val="18"/>
          <w:color w:val="auto"/>
        </w:rPr>
        <w:t xml:space="preserve"> will apply), then the Conversion Rate will be adjusted based on the following formula: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540" w:hanging="111"/>
        <w:spacing w:after="0"/>
        <w:tabs>
          <w:tab w:leader="none" w:pos="55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-910590</wp:posOffset>
            </wp:positionV>
            <wp:extent cx="1234440" cy="480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4440" cy="4800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5"/>
          <w:szCs w:val="15"/>
          <w:color w:val="auto"/>
        </w:rPr>
        <w:t>where:</w:t>
      </w:r>
    </w:p>
    <w:p>
      <w:pPr>
        <w:sectPr>
          <w:pgSz w:w="11900" w:h="16838" w:orient="portrait"/>
          <w:cols w:equalWidth="0" w:num="1">
            <w:col w:w="11240"/>
          </w:cols>
          <w:pgMar w:left="320" w:top="1124" w:right="339" w:bottom="1440" w:gutter="0" w:footer="0" w:header="0"/>
        </w:sect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120" w:hanging="21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Conversion Rate in effect immediately before the Open of Business on the Ex-Dividend Date for such dividend or distribution, or immediately before the Open of Business on the effective date of such stock split or stock combination, as applicable;</w:t>
      </w:r>
    </w:p>
    <w:p>
      <w:pPr>
        <w:spacing w:after="0" w:line="124" w:lineRule="exact"/>
        <w:rPr>
          <w:sz w:val="20"/>
          <w:szCs w:val="20"/>
          <w:color w:val="auto"/>
        </w:rPr>
      </w:pPr>
    </w:p>
    <w:p>
      <w:pPr>
        <w:sectPr>
          <w:pgSz w:w="11900" w:h="16838" w:orient="portrait"/>
          <w:cols w:equalWidth="0" w:num="2">
            <w:col w:w="960" w:space="560"/>
            <w:col w:w="9720"/>
          </w:cols>
          <w:pgMar w:left="320" w:top="1124" w:right="339" w:bottom="1440" w:gutter="0" w:footer="0" w:header="0"/>
          <w:type w:val="continuous"/>
        </w:sectPr>
      </w:pPr>
    </w:p>
    <w:p>
      <w:pPr>
        <w:ind w:left="66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ind w:right="38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after the Open of Business on such Ex-Dividend Date or the Open of Business on such effective date, as applicable;</w:t>
      </w:r>
    </w:p>
    <w:p>
      <w:pPr>
        <w:spacing w:after="0" w:line="170" w:lineRule="exact"/>
        <w:rPr>
          <w:sz w:val="20"/>
          <w:szCs w:val="20"/>
          <w:color w:val="auto"/>
        </w:rPr>
      </w:pPr>
    </w:p>
    <w:p>
      <w:pPr>
        <w:sectPr>
          <w:pgSz w:w="11900" w:h="16838" w:orient="portrait"/>
          <w:cols w:equalWidth="0" w:num="2">
            <w:col w:w="960" w:space="560"/>
            <w:col w:w="9720"/>
          </w:cols>
          <w:pgMar w:left="320" w:top="1124" w:right="339" w:bottom="1440" w:gutter="0" w:footer="0" w:header="0"/>
          <w:type w:val="continuous"/>
        </w:sectPr>
      </w:pPr>
    </w:p>
    <w:p>
      <w:pPr>
        <w:ind w:left="660"/>
        <w:spacing w:after="0"/>
        <w:rPr>
          <w:sz w:val="20"/>
          <w:szCs w:val="20"/>
          <w:color w:val="auto"/>
        </w:rPr>
      </w:pPr>
      <w:r>
        <w:rPr>
          <w:rFonts w:ascii="Arial" w:cs="Arial" w:eastAsia="Arial" w:hAnsi="Arial"/>
          <w:sz w:val="16"/>
          <w:szCs w:val="16"/>
          <w:i w:val="1"/>
          <w:iCs w:val="1"/>
          <w:color w:val="auto"/>
        </w:rPr>
        <w:t>OS</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ind w:right="12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shares of Common Stock outstanding immediately before the Open of Business on such Ex-Dividend Date or effective date, as applicable, without giving effect to such dividend, distribution, stock split or stock combination; and</w:t>
      </w:r>
    </w:p>
    <w:p>
      <w:pPr>
        <w:spacing w:after="0" w:line="146" w:lineRule="exact"/>
        <w:rPr>
          <w:sz w:val="20"/>
          <w:szCs w:val="20"/>
          <w:color w:val="auto"/>
        </w:rPr>
      </w:pPr>
    </w:p>
    <w:p>
      <w:pPr>
        <w:sectPr>
          <w:pgSz w:w="11900" w:h="16838" w:orient="portrait"/>
          <w:cols w:equalWidth="0" w:num="2">
            <w:col w:w="960" w:space="560"/>
            <w:col w:w="9720"/>
          </w:cols>
          <w:pgMar w:left="320" w:top="1124" w:right="339" w:bottom="1440" w:gutter="0" w:footer="0" w:header="0"/>
          <w:type w:val="continuous"/>
        </w:sectPr>
      </w:pPr>
    </w:p>
    <w:p>
      <w:pPr>
        <w:ind w:left="660"/>
        <w:spacing w:after="0"/>
        <w:rPr>
          <w:sz w:val="20"/>
          <w:szCs w:val="20"/>
          <w:color w:val="auto"/>
        </w:rPr>
      </w:pPr>
      <w:r>
        <w:rPr>
          <w:rFonts w:ascii="Arial" w:cs="Arial" w:eastAsia="Arial" w:hAnsi="Arial"/>
          <w:sz w:val="16"/>
          <w:szCs w:val="16"/>
          <w:i w:val="1"/>
          <w:iCs w:val="1"/>
          <w:color w:val="auto"/>
        </w:rPr>
        <w:t>OS</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ind w:right="10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Common Stock outstanding immediately after giving effect to such dividend, distribution, stock split or stock combination.</w:t>
      </w:r>
    </w:p>
    <w:p>
      <w:pPr>
        <w:spacing w:after="0" w:line="166" w:lineRule="exact"/>
        <w:rPr>
          <w:sz w:val="20"/>
          <w:szCs w:val="20"/>
          <w:color w:val="auto"/>
        </w:rPr>
      </w:pPr>
    </w:p>
    <w:p>
      <w:pPr>
        <w:sectPr>
          <w:pgSz w:w="11900" w:h="16838" w:orient="portrait"/>
          <w:cols w:equalWidth="0" w:num="2">
            <w:col w:w="960" w:space="560"/>
            <w:col w:w="9720"/>
          </w:cols>
          <w:pgMar w:left="320" w:top="1124" w:right="339" w:bottom="1440" w:gutter="0" w:footer="0" w:header="0"/>
          <w:type w:val="continuous"/>
        </w:sectPr>
      </w:pPr>
    </w:p>
    <w:p>
      <w:pPr>
        <w:jc w:val="both"/>
        <w:ind w:left="660"/>
        <w:spacing w:after="0" w:line="266" w:lineRule="auto"/>
        <w:rPr>
          <w:sz w:val="20"/>
          <w:szCs w:val="20"/>
          <w:color w:val="auto"/>
        </w:rPr>
      </w:pPr>
      <w:r>
        <w:rPr>
          <w:rFonts w:ascii="Arial" w:cs="Arial" w:eastAsia="Arial" w:hAnsi="Arial"/>
          <w:sz w:val="18"/>
          <w:szCs w:val="18"/>
          <w:color w:val="auto"/>
        </w:rPr>
        <w:t xml:space="preserve">If any dividend or distribution of the type described in this </w:t>
      </w:r>
      <w:r>
        <w:rPr>
          <w:rFonts w:ascii="Arial" w:cs="Arial" w:eastAsia="Arial" w:hAnsi="Arial"/>
          <w:sz w:val="18"/>
          <w:szCs w:val="18"/>
          <w:b w:val="1"/>
          <w:bCs w:val="1"/>
          <w:color w:val="auto"/>
        </w:rPr>
        <w:t>Section 5.05(A)(i)</w:t>
      </w:r>
      <w:r>
        <w:rPr>
          <w:rFonts w:ascii="Arial" w:cs="Arial" w:eastAsia="Arial" w:hAnsi="Arial"/>
          <w:sz w:val="18"/>
          <w:szCs w:val="18"/>
          <w:color w:val="auto"/>
        </w:rPr>
        <w:t xml:space="preserve"> is declared, but not so paid, then the Conversion Rate will be readjusted, effective as of the date the Board of Directors determines not to pay such dividend or distribution, to the Conversion Rate that would then be in effect had such dividend or distribution not been declared.</w:t>
      </w:r>
    </w:p>
    <w:p>
      <w:pPr>
        <w:spacing w:after="0" w:line="180" w:lineRule="exact"/>
        <w:rPr>
          <w:sz w:val="20"/>
          <w:szCs w:val="20"/>
          <w:color w:val="auto"/>
        </w:rPr>
      </w:pPr>
    </w:p>
    <w:p>
      <w:pPr>
        <w:jc w:val="both"/>
        <w:ind w:left="660" w:firstLine="644"/>
        <w:spacing w:after="0" w:line="293" w:lineRule="auto"/>
        <w:tabs>
          <w:tab w:leader="none" w:pos="2171"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Rights, Options and Warrants</w:t>
      </w:r>
      <w:r>
        <w:rPr>
          <w:rFonts w:ascii="Arial" w:cs="Arial" w:eastAsia="Arial" w:hAnsi="Arial"/>
          <w:sz w:val="16"/>
          <w:szCs w:val="16"/>
          <w:color w:val="auto"/>
        </w:rPr>
        <w:t>. If the Company distributes, to all or substantially all holders of Common Stock, rights,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warrants (other than rights issued or otherwise distributed pursuant to a stockholder rights plan, as to which the provisions set forth in </w:t>
      </w:r>
      <w:r>
        <w:rPr>
          <w:rFonts w:ascii="Arial" w:cs="Arial" w:eastAsia="Arial" w:hAnsi="Arial"/>
          <w:sz w:val="16"/>
          <w:szCs w:val="16"/>
          <w:b w:val="1"/>
          <w:bCs w:val="1"/>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5.05(A)(iii)(1) </w:t>
      </w:r>
      <w:r>
        <w:rPr>
          <w:rFonts w:ascii="Arial" w:cs="Arial" w:eastAsia="Arial" w:hAnsi="Arial"/>
          <w:sz w:val="16"/>
          <w:szCs w:val="16"/>
          <w:color w:val="auto"/>
        </w:rPr>
        <w:t>and</w:t>
      </w:r>
      <w:r>
        <w:rPr>
          <w:rFonts w:ascii="Arial" w:cs="Arial" w:eastAsia="Arial" w:hAnsi="Arial"/>
          <w:sz w:val="16"/>
          <w:szCs w:val="16"/>
          <w:b w:val="1"/>
          <w:bCs w:val="1"/>
          <w:color w:val="auto"/>
        </w:rPr>
        <w:t xml:space="preserve"> 5.05(F) </w:t>
      </w:r>
      <w:r>
        <w:rPr>
          <w:rFonts w:ascii="Arial" w:cs="Arial" w:eastAsia="Arial" w:hAnsi="Arial"/>
          <w:sz w:val="16"/>
          <w:szCs w:val="16"/>
          <w:color w:val="auto"/>
        </w:rPr>
        <w:t>will apply) entitling such holders, for a period of not more than sixty (60) calendar days after the date such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113665</wp:posOffset>
            </wp:positionV>
            <wp:extent cx="125984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98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ind w:left="660"/>
              <w:spacing w:after="0"/>
              <w:rPr>
                <w:sz w:val="20"/>
                <w:szCs w:val="20"/>
                <w:color w:val="auto"/>
              </w:rPr>
            </w:pPr>
            <w:r>
              <w:rPr>
                <w:rFonts w:ascii="Arial" w:cs="Arial" w:eastAsia="Arial" w:hAnsi="Arial"/>
                <w:sz w:val="18"/>
                <w:szCs w:val="18"/>
                <w:color w:val="auto"/>
                <w:w w:val="99"/>
              </w:rPr>
              <w:t>where:</w:t>
            </w: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p>
        </w:tc>
      </w:tr>
      <w:tr>
        <w:trPr>
          <w:trHeight w:val="463"/>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 the Conversion Rate in effect immediately before the Open of Business on the Ex-Dividend Date for such distribution;</w:t>
            </w:r>
          </w:p>
        </w:tc>
      </w:tr>
      <w:tr>
        <w:trPr>
          <w:trHeight w:val="445"/>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5"/>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OS</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the number of shares of Common Stock outstanding immediately before the Open of Business on such Ex-Dividend Date;</w:t>
            </w:r>
          </w:p>
        </w:tc>
      </w:tr>
      <w:tr>
        <w:trPr>
          <w:trHeight w:val="648"/>
        </w:trPr>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jc w:val="right"/>
              <w:ind w:right="5330"/>
              <w:spacing w:after="0"/>
              <w:rPr>
                <w:sz w:val="20"/>
                <w:szCs w:val="20"/>
                <w:color w:val="auto"/>
              </w:rPr>
            </w:pPr>
            <w:r>
              <w:rPr>
                <w:rFonts w:ascii="Arial" w:cs="Arial" w:eastAsia="Arial" w:hAnsi="Arial"/>
                <w:sz w:val="18"/>
                <w:szCs w:val="18"/>
                <w:color w:val="auto"/>
              </w:rPr>
              <w:t>- 47 -</w:t>
            </w:r>
          </w:p>
        </w:tc>
      </w:tr>
    </w:tbl>
    <w:p>
      <w:pPr>
        <w:sectPr>
          <w:pgSz w:w="11900" w:h="16838" w:orient="portrait"/>
          <w:cols w:equalWidth="0" w:num="1">
            <w:col w:w="11240"/>
          </w:cols>
          <w:pgMar w:left="320" w:top="1124" w:right="339" w:bottom="1440" w:gutter="0" w:footer="0" w:header="0"/>
          <w:type w:val="continuous"/>
        </w:sectPr>
      </w:pPr>
    </w:p>
    <w:bookmarkStart w:id="56" w:name="page57"/>
    <w:bookmarkEnd w:id="56"/>
    <w:p>
      <w:pPr>
        <w:ind w:left="644" w:hanging="644"/>
        <w:spacing w:after="0"/>
        <w:tabs>
          <w:tab w:leader="none" w:pos="644" w:val="left"/>
        </w:tabs>
        <w:numPr>
          <w:ilvl w:val="0"/>
          <w:numId w:val="68"/>
        </w:numPr>
        <w:rPr>
          <w:rFonts w:ascii="Arial" w:cs="Arial" w:eastAsia="Arial" w:hAnsi="Arial"/>
          <w:sz w:val="18"/>
          <w:szCs w:val="18"/>
          <w:i w:val="1"/>
          <w:iCs w:val="1"/>
          <w:color w:val="auto"/>
        </w:rPr>
      </w:pPr>
      <w:r>
        <w:rPr>
          <w:rFonts w:ascii="Arial" w:cs="Arial" w:eastAsia="Arial" w:hAnsi="Arial"/>
          <w:sz w:val="18"/>
          <w:szCs w:val="18"/>
          <w:color w:val="auto"/>
        </w:rPr>
        <w:t>= the total number of shares of Common Stock issuable pursuant to such rights, options or warrants; and</w:t>
      </w:r>
    </w:p>
    <w:p>
      <w:pPr>
        <w:spacing w:after="0" w:line="225" w:lineRule="exact"/>
        <w:rPr>
          <w:sz w:val="20"/>
          <w:szCs w:val="20"/>
          <w:color w:val="auto"/>
        </w:rPr>
      </w:pPr>
    </w:p>
    <w:p>
      <w:pPr>
        <w:ind w:left="864" w:hanging="864"/>
        <w:spacing w:after="0" w:line="263" w:lineRule="auto"/>
        <w:tabs>
          <w:tab w:leader="none" w:pos="648" w:val="left"/>
        </w:tabs>
        <w:numPr>
          <w:ilvl w:val="0"/>
          <w:numId w:val="69"/>
        </w:numPr>
        <w:rPr>
          <w:rFonts w:ascii="Arial" w:cs="Arial" w:eastAsia="Arial" w:hAnsi="Arial"/>
          <w:sz w:val="18"/>
          <w:szCs w:val="18"/>
          <w:i w:val="1"/>
          <w:iCs w:val="1"/>
          <w:color w:val="auto"/>
        </w:rPr>
      </w:pPr>
      <w:r>
        <w:rPr>
          <w:rFonts w:ascii="Arial" w:cs="Arial" w:eastAsia="Arial" w:hAnsi="Arial"/>
          <w:sz w:val="18"/>
          <w:szCs w:val="18"/>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84"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188" w:lineRule="exact"/>
        <w:rPr>
          <w:sz w:val="20"/>
          <w:szCs w:val="20"/>
          <w:color w:val="auto"/>
        </w:rPr>
      </w:pPr>
    </w:p>
    <w:p>
      <w:pPr>
        <w:jc w:val="both"/>
        <w:ind w:left="4"/>
        <w:spacing w:after="0" w:line="294"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b w:val="1"/>
          <w:bCs w:val="1"/>
          <w:color w:val="auto"/>
        </w:rPr>
        <w:t>Section 5.05(A)(ii)</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5.01(C)(i)(3)(a)(I)</w:t>
      </w:r>
      <w:r>
        <w:rPr>
          <w:rFonts w:ascii="Arial" w:cs="Arial" w:eastAsia="Arial" w:hAnsi="Arial"/>
          <w:sz w:val="16"/>
          <w:szCs w:val="16"/>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of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spacing w:after="0" w:line="164" w:lineRule="exact"/>
        <w:rPr>
          <w:sz w:val="20"/>
          <w:szCs w:val="20"/>
          <w:color w:val="auto"/>
        </w:rPr>
      </w:pPr>
    </w:p>
    <w:p>
      <w:pPr>
        <w:ind w:left="1404" w:hanging="756"/>
        <w:spacing w:after="0"/>
        <w:tabs>
          <w:tab w:leader="none" w:pos="140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Spin-Offs and Other Distributed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652"/>
        <w:spacing w:after="0" w:line="263" w:lineRule="auto"/>
        <w:tabs>
          <w:tab w:leader="none" w:pos="2433"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Distributions Other than Spin-Offs</w:t>
      </w:r>
      <w:r>
        <w:rPr>
          <w:rFonts w:ascii="Arial" w:cs="Arial" w:eastAsia="Arial" w:hAnsi="Arial"/>
          <w:sz w:val="18"/>
          <w:szCs w:val="18"/>
          <w:color w:val="auto"/>
        </w:rPr>
        <w:t>. If the Company distributes shares of its Capital Stock, evidences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or other assets or property of the Company, or rights, options or warrants to acquire Capital Stock of the Company or other securities, to all or substantially all holders of the Common Stock, excluding:</w:t>
      </w:r>
    </w:p>
    <w:p>
      <w:pPr>
        <w:spacing w:after="0" w:line="183" w:lineRule="exact"/>
        <w:rPr>
          <w:rFonts w:ascii="Arial" w:cs="Arial" w:eastAsia="Arial" w:hAnsi="Arial"/>
          <w:sz w:val="18"/>
          <w:szCs w:val="18"/>
          <w:color w:val="auto"/>
        </w:rPr>
      </w:pPr>
    </w:p>
    <w:p>
      <w:pPr>
        <w:ind w:left="1304" w:firstLine="640"/>
        <w:spacing w:after="0" w:line="277" w:lineRule="auto"/>
        <w:tabs>
          <w:tab w:leader="none" w:pos="2486"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dividends, distributions, rights, options or warrants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w:t>
      </w:r>
      <w:r>
        <w:rPr>
          <w:rFonts w:ascii="Arial" w:cs="Arial" w:eastAsia="Arial" w:hAnsi="Arial"/>
          <w:sz w:val="18"/>
          <w:szCs w:val="18"/>
          <w:b w:val="1"/>
          <w:bCs w:val="1"/>
          <w:color w:val="auto"/>
        </w:rPr>
        <w:t>Section 5.05(A)(i)</w:t>
      </w:r>
      <w:r>
        <w:rPr>
          <w:rFonts w:ascii="Arial" w:cs="Arial" w:eastAsia="Arial" w:hAnsi="Arial"/>
          <w:sz w:val="18"/>
          <w:szCs w:val="18"/>
          <w:color w:val="auto"/>
        </w:rPr>
        <w:t xml:space="preserve"> or </w:t>
      </w:r>
      <w:r>
        <w:rPr>
          <w:rFonts w:ascii="Arial" w:cs="Arial" w:eastAsia="Arial" w:hAnsi="Arial"/>
          <w:sz w:val="18"/>
          <w:szCs w:val="18"/>
          <w:b w:val="1"/>
          <w:bCs w:val="1"/>
          <w:color w:val="auto"/>
        </w:rPr>
        <w:t>5.05(A)(ii)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4" w:firstLine="640"/>
        <w:spacing w:after="0" w:line="277" w:lineRule="auto"/>
        <w:tabs>
          <w:tab w:leader="none" w:pos="2427"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dividends or distributions paid exclusively in cash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w:t>
      </w:r>
      <w:r>
        <w:rPr>
          <w:rFonts w:ascii="Arial" w:cs="Arial" w:eastAsia="Arial" w:hAnsi="Arial"/>
          <w:sz w:val="18"/>
          <w:szCs w:val="18"/>
          <w:b w:val="1"/>
          <w:bCs w:val="1"/>
          <w:color w:val="auto"/>
        </w:rPr>
        <w:t>Section 5.05(A)(iv)</w:t>
      </w:r>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ind w:left="4884" w:hanging="111"/>
        <w:spacing w:after="0"/>
        <w:tabs>
          <w:tab w:leader="none" w:pos="4884" w:val="left"/>
        </w:tabs>
        <w:numPr>
          <w:ilvl w:val="3"/>
          <w:numId w:val="70"/>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7" w:name="page58"/>
    <w:bookmarkEnd w:id="57"/>
    <w:p>
      <w:pPr>
        <w:ind w:left="2140" w:hanging="660"/>
        <w:spacing w:after="0"/>
        <w:tabs>
          <w:tab w:leader="none" w:pos="2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rights issued or otherwise distributed pursuant to a stockholder rights plan, except to the extent provided in</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b w:val="1"/>
          <w:bCs w:val="1"/>
          <w:color w:val="auto"/>
        </w:rPr>
        <w:t>Section 5.05(F)</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840" w:firstLine="640"/>
        <w:spacing w:after="0" w:line="277" w:lineRule="auto"/>
        <w:tabs>
          <w:tab w:leader="none" w:pos="20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Spin-Offs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Section 5.05(A)(iii)(2)</w:t>
      </w:r>
      <w:r>
        <w:rPr>
          <w:rFonts w:ascii="Arial" w:cs="Arial" w:eastAsia="Arial" w:hAnsi="Arial"/>
          <w:sz w:val="18"/>
          <w:szCs w:val="18"/>
          <w:color w:val="auto"/>
        </w:rPr>
        <w:t>; and</w:t>
      </w:r>
    </w:p>
    <w:p>
      <w:pPr>
        <w:spacing w:after="0" w:line="166" w:lineRule="exact"/>
        <w:rPr>
          <w:rFonts w:ascii="Arial" w:cs="Arial" w:eastAsia="Arial" w:hAnsi="Arial"/>
          <w:sz w:val="18"/>
          <w:szCs w:val="18"/>
          <w:color w:val="auto"/>
        </w:rPr>
      </w:pPr>
    </w:p>
    <w:p>
      <w:pPr>
        <w:ind w:left="2000" w:hanging="520"/>
        <w:spacing w:after="0"/>
        <w:tabs>
          <w:tab w:leader="none" w:pos="2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 distribution solely pursuant to a Common Stock Change Event, as to which </w:t>
      </w:r>
      <w:r>
        <w:rPr>
          <w:rFonts w:ascii="Arial" w:cs="Arial" w:eastAsia="Arial" w:hAnsi="Arial"/>
          <w:sz w:val="18"/>
          <w:szCs w:val="18"/>
          <w:b w:val="1"/>
          <w:bCs w:val="1"/>
          <w:color w:val="auto"/>
        </w:rPr>
        <w:t>Section 5.09</w:t>
      </w:r>
      <w:r>
        <w:rPr>
          <w:rFonts w:ascii="Arial" w:cs="Arial" w:eastAsia="Arial" w:hAnsi="Arial"/>
          <w:sz w:val="18"/>
          <w:szCs w:val="18"/>
          <w:color w:val="auto"/>
        </w:rPr>
        <w:t xml:space="preserve"> will apply,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1431290" cy="420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312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0120"/>
          </w:cols>
          <w:pgMar w:left="1440" w:top="908" w:right="339" w:bottom="1440" w:gutter="0" w:footer="0" w:header="0"/>
        </w:sect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before the Open of Business on the Ex-Dividend Date for such distribution;</w:t>
      </w:r>
    </w:p>
    <w:p>
      <w:pPr>
        <w:spacing w:after="0" w:line="200" w:lineRule="exact"/>
        <w:rPr>
          <w:sz w:val="20"/>
          <w:szCs w:val="20"/>
          <w:color w:val="auto"/>
        </w:rPr>
      </w:pPr>
    </w:p>
    <w:p>
      <w:pPr>
        <w:sectPr>
          <w:pgSz w:w="11900" w:h="16838" w:orient="portrait"/>
          <w:cols w:equalWidth="0" w:num="2">
            <w:col w:w="480" w:space="360"/>
            <w:col w:w="9280"/>
          </w:cols>
          <w:pgMar w:left="1440" w:top="908" w:right="3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480" w:space="360"/>
            <w:col w:w="9280"/>
          </w:cols>
          <w:pgMar w:left="1440" w:top="908" w:right="3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SP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per share of Common Stock for the ten (10) consecutive Trading Days ending on, and including, the Trading Day immediately before such Ex-Dividend Date; and</w:t>
      </w:r>
    </w:p>
    <w:p>
      <w:pPr>
        <w:spacing w:after="0" w:line="170" w:lineRule="exact"/>
        <w:rPr>
          <w:sz w:val="20"/>
          <w:szCs w:val="20"/>
          <w:color w:val="auto"/>
        </w:rPr>
      </w:pPr>
    </w:p>
    <w:p>
      <w:pPr>
        <w:sectPr>
          <w:pgSz w:w="11900" w:h="16838" w:orient="portrait"/>
          <w:cols w:equalWidth="0" w:num="2">
            <w:col w:w="440" w:space="720"/>
            <w:col w:w="8960"/>
          </w:cols>
          <w:pgMar w:left="1440" w:top="908" w:right="339" w:bottom="1440" w:gutter="0" w:footer="0" w:header="0"/>
          <w:type w:val="continuous"/>
        </w:sectPr>
      </w:pPr>
    </w:p>
    <w:p>
      <w:pPr>
        <w:ind w:left="180"/>
        <w:spacing w:after="0"/>
        <w:rPr>
          <w:sz w:val="20"/>
          <w:szCs w:val="20"/>
          <w:color w:val="auto"/>
        </w:rPr>
      </w:pPr>
      <w:r>
        <w:rPr>
          <w:rFonts w:ascii="Arial" w:cs="Arial" w:eastAsia="Arial" w:hAnsi="Arial"/>
          <w:sz w:val="18"/>
          <w:szCs w:val="18"/>
          <w:i w:val="1"/>
          <w:iCs w:val="1"/>
          <w:color w:val="auto"/>
        </w:rPr>
        <w:t>FMV</w:t>
      </w:r>
    </w:p>
    <w:p>
      <w:pPr>
        <w:spacing w:after="0" w:line="20" w:lineRule="exact"/>
        <w:rPr>
          <w:sz w:val="20"/>
          <w:szCs w:val="20"/>
          <w:color w:val="auto"/>
        </w:rPr>
      </w:pPr>
      <w:r>
        <w:rPr>
          <w:sz w:val="20"/>
          <w:szCs w:val="20"/>
          <w:color w:val="auto"/>
        </w:rPr>
        <w:br w:type="column"/>
      </w:r>
    </w:p>
    <w:p>
      <w:pPr>
        <w:jc w:val="both"/>
        <w:ind w:hanging="319"/>
        <w:spacing w:after="0" w:line="263"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fair market value (as determined by the Board of Directors), as of such Ex-Dividend Date, of the shares of Capital Stock, evidences of indebtedness, assets, property, rights, options or warrants distributed per share of Common Stock pursuant to such distribution;</w:t>
      </w:r>
    </w:p>
    <w:p>
      <w:pPr>
        <w:spacing w:after="0" w:line="184" w:lineRule="exact"/>
        <w:rPr>
          <w:sz w:val="20"/>
          <w:szCs w:val="20"/>
          <w:color w:val="auto"/>
        </w:rPr>
      </w:pPr>
    </w:p>
    <w:p>
      <w:pPr>
        <w:sectPr>
          <w:pgSz w:w="11900" w:h="16838" w:orient="portrait"/>
          <w:cols w:equalWidth="0" w:num="2">
            <w:col w:w="560" w:space="600"/>
            <w:col w:w="8960"/>
          </w:cols>
          <w:pgMar w:left="1440" w:top="908" w:right="339" w:bottom="1440" w:gutter="0" w:footer="0" w:header="0"/>
          <w:type w:val="continuous"/>
        </w:sectPr>
      </w:pPr>
    </w:p>
    <w:p>
      <w:pPr>
        <w:jc w:val="both"/>
        <w:ind w:left="180"/>
        <w:spacing w:after="0" w:line="29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FMV </w:t>
      </w:r>
      <w:r>
        <w:rPr>
          <w:rFonts w:ascii="Arial" w:cs="Arial" w:eastAsia="Arial" w:hAnsi="Arial"/>
          <w:sz w:val="16"/>
          <w:szCs w:val="16"/>
          <w:color w:val="auto"/>
        </w:rPr>
        <w:t>is equal to or greater than</w:t>
      </w:r>
      <w:r>
        <w:rPr>
          <w:rFonts w:ascii="Arial" w:cs="Arial" w:eastAsia="Arial" w:hAnsi="Arial"/>
          <w:sz w:val="16"/>
          <w:szCs w:val="16"/>
          <w:i w:val="1"/>
          <w:iCs w:val="1"/>
          <w:color w:val="auto"/>
        </w:rPr>
        <w:t xml:space="preserve"> SP</w:t>
      </w:r>
      <w:r>
        <w:rPr>
          <w:rFonts w:ascii="Arial" w:cs="Arial" w:eastAsia="Arial" w:hAnsi="Arial"/>
          <w:sz w:val="16"/>
          <w:szCs w:val="16"/>
          <w:color w:val="auto"/>
        </w:rPr>
        <w:t>, then, in lieu of the foregoing adjustment to the Conversion Rate,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37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type w:val="continuous"/>
        </w:sectPr>
      </w:pPr>
    </w:p>
    <w:bookmarkStart w:id="58" w:name="page59"/>
    <w:bookmarkEnd w:id="58"/>
    <w:p>
      <w:pPr>
        <w:jc w:val="both"/>
        <w:ind w:left="180" w:right="20"/>
        <w:spacing w:after="0" w:line="277" w:lineRule="auto"/>
        <w:rPr>
          <w:sz w:val="20"/>
          <w:szCs w:val="20"/>
          <w:color w:val="auto"/>
        </w:rPr>
      </w:pPr>
      <w:r>
        <w:rPr>
          <w:rFonts w:ascii="Arial" w:cs="Arial" w:eastAsia="Arial" w:hAnsi="Arial"/>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66" w:lineRule="exact"/>
        <w:rPr>
          <w:sz w:val="20"/>
          <w:szCs w:val="20"/>
          <w:color w:val="auto"/>
        </w:rPr>
      </w:pPr>
    </w:p>
    <w:p>
      <w:pPr>
        <w:jc w:val="both"/>
        <w:ind w:left="180"/>
        <w:spacing w:after="0" w:line="284"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b w:val="1"/>
          <w:bCs w:val="1"/>
          <w:color w:val="auto"/>
        </w:rPr>
        <w:t>Section 5.05(A)(iii)(1)</w:t>
      </w:r>
      <w:r>
        <w:rPr>
          <w:rFonts w:ascii="Arial" w:cs="Arial" w:eastAsia="Arial" w:hAnsi="Arial"/>
          <w:sz w:val="16"/>
          <w:szCs w:val="16"/>
          <w:color w:val="auto"/>
        </w:rPr>
        <w:t xml:space="preserve"> (and subject to </w:t>
      </w:r>
      <w:r>
        <w:rPr>
          <w:rFonts w:ascii="Arial" w:cs="Arial" w:eastAsia="Arial" w:hAnsi="Arial"/>
          <w:sz w:val="16"/>
          <w:szCs w:val="16"/>
          <w:b w:val="1"/>
          <w:bCs w:val="1"/>
          <w:color w:val="auto"/>
        </w:rPr>
        <w:t>Section 5.05(F)</w:t>
      </w:r>
      <w:r>
        <w:rPr>
          <w:rFonts w:ascii="Arial" w:cs="Arial" w:eastAsia="Arial" w:hAnsi="Arial"/>
          <w:sz w:val="16"/>
          <w:szCs w:val="16"/>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xml:space="preserve">”): (x) are deemed to be transferred with such Common Stock; (y) are not exercisable; and (z) are also issued in respect of future issuances of Common Stock, will be deemed not to have been distributed for purposes of this </w:t>
      </w:r>
      <w:r>
        <w:rPr>
          <w:rFonts w:ascii="Arial" w:cs="Arial" w:eastAsia="Arial" w:hAnsi="Arial"/>
          <w:sz w:val="16"/>
          <w:szCs w:val="16"/>
          <w:b w:val="1"/>
          <w:bCs w:val="1"/>
          <w:color w:val="auto"/>
        </w:rPr>
        <w:t>Section 5.05(A)(iii)(1)</w:t>
      </w:r>
      <w:r>
        <w:rPr>
          <w:rFonts w:ascii="Arial" w:cs="Arial" w:eastAsia="Arial" w:hAnsi="Arial"/>
          <w:sz w:val="16"/>
          <w:szCs w:val="16"/>
          <w:color w:val="auto"/>
        </w:rPr>
        <w:t xml:space="preserve"> (and no adjustment to the Conversion Rate under this </w:t>
      </w:r>
      <w:r>
        <w:rPr>
          <w:rFonts w:ascii="Arial" w:cs="Arial" w:eastAsia="Arial" w:hAnsi="Arial"/>
          <w:sz w:val="16"/>
          <w:szCs w:val="16"/>
          <w:b w:val="1"/>
          <w:bCs w:val="1"/>
          <w:color w:val="auto"/>
        </w:rPr>
        <w:t>Section 5.05(A)(iii)(1)</w:t>
      </w:r>
      <w:r>
        <w:rPr>
          <w:rFonts w:ascii="Arial" w:cs="Arial" w:eastAsia="Arial" w:hAnsi="Arial"/>
          <w:sz w:val="16"/>
          <w:szCs w:val="16"/>
          <w:color w:val="auto"/>
        </w:rPr>
        <w:t xml:space="preserve"> will be required) until the occurrence of the earliest Trigger Event, whereupon such rights, options or warrants will be deemed to have been distributed and an appropriate adjustment (if any is required) to the Conversion Rate will be made pursuant to this </w:t>
      </w:r>
      <w:r>
        <w:rPr>
          <w:rFonts w:ascii="Arial" w:cs="Arial" w:eastAsia="Arial" w:hAnsi="Arial"/>
          <w:sz w:val="16"/>
          <w:szCs w:val="16"/>
          <w:b w:val="1"/>
          <w:bCs w:val="1"/>
          <w:color w:val="auto"/>
        </w:rPr>
        <w:t>Section 5.05(A)(iii)(1)</w:t>
      </w:r>
      <w:r>
        <w:rPr>
          <w:rFonts w:ascii="Arial" w:cs="Arial" w:eastAsia="Arial" w:hAnsi="Arial"/>
          <w:sz w:val="16"/>
          <w:szCs w:val="16"/>
          <w:color w:val="auto"/>
        </w:rPr>
        <w:t xml:space="preserve">. If any such right, option or warrant, including any such existing rights, options or warrants distributed before the Issue Date, are subject to events, upon the occurrence of which such rights, options or warrants become exercisable to purchase different securities, evidences of indebtedness or other assets, then the date of the occurrence of any and each such event will be deemed to be the date of distribution and Ex-Dividend Date with respect to new rights, options or warrants with such rights (in which case, the existing rights, options or warrants will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pursuant to this </w:t>
      </w:r>
      <w:r>
        <w:rPr>
          <w:rFonts w:ascii="Arial" w:cs="Arial" w:eastAsia="Arial" w:hAnsi="Arial"/>
          <w:sz w:val="16"/>
          <w:szCs w:val="16"/>
          <w:b w:val="1"/>
          <w:bCs w:val="1"/>
          <w:color w:val="auto"/>
        </w:rPr>
        <w:t>Section 5.05(A)(iii)(1)</w:t>
      </w:r>
      <w:r>
        <w:rPr>
          <w:rFonts w:ascii="Arial" w:cs="Arial" w:eastAsia="Arial" w:hAnsi="Arial"/>
          <w:sz w:val="16"/>
          <w:szCs w:val="16"/>
          <w:color w:val="auto"/>
        </w:rPr>
        <w:t xml:space="preserve"> was made, (x) in the case of any such rights, options or warrants that have been redeemed or purchased without exercise by any holders thereof, upon such final redemption or purchase (I) the Conversion Rate will be readjusted as if such rights, options or warrants had not been issued; and (II) the Conversion Rate will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(y) in the case of such rights, options or warrants that have expired or been terminated without exercise by any holders thereof, the Conversion Rate will be readjusted as if such rights, options and warrants had not been issued.</w:t>
      </w:r>
    </w:p>
    <w:p>
      <w:pPr>
        <w:spacing w:after="0" w:line="39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9" w:name="page60"/>
    <w:bookmarkEnd w:id="59"/>
    <w:p>
      <w:pPr>
        <w:jc w:val="both"/>
        <w:ind w:left="180" w:firstLine="652"/>
        <w:spacing w:after="0" w:line="275" w:lineRule="auto"/>
        <w:tabs>
          <w:tab w:leader="none" w:pos="1726"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Spin-Offs</w:t>
      </w:r>
      <w:r>
        <w:rPr>
          <w:rFonts w:ascii="Arial" w:cs="Arial" w:eastAsia="Arial" w:hAnsi="Arial"/>
          <w:sz w:val="17"/>
          <w:szCs w:val="17"/>
          <w:color w:val="auto"/>
        </w:rPr>
        <w:t>. If the Company distributes or dividends shares of Capital Stock of any class or series, or similar equity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interest, of or relating to an Affiliate, a Subsidiary or other business unit of the Company to all or substantially all holders of the Common Stock (other than solely pursuant to a Common Stock Change Event, as to which </w:t>
      </w:r>
      <w:r>
        <w:rPr>
          <w:rFonts w:ascii="Arial" w:cs="Arial" w:eastAsia="Arial" w:hAnsi="Arial"/>
          <w:sz w:val="17"/>
          <w:szCs w:val="17"/>
          <w:b w:val="1"/>
          <w:bCs w:val="1"/>
          <w:color w:val="auto"/>
        </w:rPr>
        <w:t>Section 5.09</w:t>
      </w:r>
      <w:r>
        <w:rPr>
          <w:rFonts w:ascii="Arial" w:cs="Arial" w:eastAsia="Arial" w:hAnsi="Arial"/>
          <w:sz w:val="17"/>
          <w:szCs w:val="17"/>
          <w:color w:val="auto"/>
        </w:rPr>
        <w:t xml:space="preserve"> will apply), and such Capital Stock or equity interest is listed or quoted (or will be listed or quoted upon the consummation of the transaction) on a U.S. national securities exchange (a “</w:t>
      </w:r>
      <w:r>
        <w:rPr>
          <w:rFonts w:ascii="Arial" w:cs="Arial" w:eastAsia="Arial" w:hAnsi="Arial"/>
          <w:sz w:val="17"/>
          <w:szCs w:val="17"/>
          <w:b w:val="1"/>
          <w:bCs w:val="1"/>
          <w:color w:val="auto"/>
        </w:rPr>
        <w:t>Spin-Off</w:t>
      </w:r>
      <w:r>
        <w:rPr>
          <w:rFonts w:ascii="Arial" w:cs="Arial" w:eastAsia="Arial" w:hAnsi="Arial"/>
          <w:sz w:val="17"/>
          <w:szCs w:val="17"/>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120650</wp:posOffset>
            </wp:positionV>
            <wp:extent cx="1379855"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98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0120"/>
          </w:cols>
          <w:pgMar w:left="1440" w:top="908" w:right="339" w:bottom="1440" w:gutter="0" w:footer="0" w:header="0"/>
        </w:sect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before the Close of Business on the last Trading Day of the Spin-Off Valuation Period for such Spin-Off;</w:t>
      </w:r>
    </w:p>
    <w:p>
      <w:pPr>
        <w:spacing w:after="0" w:line="170" w:lineRule="exact"/>
        <w:rPr>
          <w:sz w:val="20"/>
          <w:szCs w:val="20"/>
          <w:color w:val="auto"/>
        </w:rPr>
      </w:pPr>
    </w:p>
    <w:p>
      <w:pPr>
        <w:sectPr>
          <w:pgSz w:w="11900" w:h="16838" w:orient="portrait"/>
          <w:cols w:equalWidth="0" w:num="2">
            <w:col w:w="480" w:space="680"/>
            <w:col w:w="8960"/>
          </w:cols>
          <w:pgMar w:left="1440" w:top="908" w:right="339" w:bottom="1440" w:gutter="0" w:footer="0" w:header="0"/>
          <w:type w:val="continuous"/>
        </w:sectPr>
      </w:pPr>
    </w:p>
    <w:p>
      <w:pPr>
        <w:ind w:left="18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12"/>
          <w:szCs w:val="12"/>
          <w:i w:val="1"/>
          <w:iCs w:val="1"/>
          <w:color w:val="auto"/>
        </w:rPr>
        <w:t>1</w:t>
      </w:r>
    </w:p>
    <w:p>
      <w:pPr>
        <w:spacing w:after="0" w:line="20" w:lineRule="exact"/>
        <w:rPr>
          <w:sz w:val="20"/>
          <w:szCs w:val="20"/>
          <w:color w:val="auto"/>
        </w:rPr>
      </w:pPr>
      <w:r>
        <w:rPr>
          <w:sz w:val="20"/>
          <w:szCs w:val="20"/>
          <w:color w:val="auto"/>
        </w:rPr>
        <w:br w:type="column"/>
      </w:r>
    </w:p>
    <w:p>
      <w:pPr>
        <w:ind w:right="32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after the Close of Business on the last Trading Day of the Spin-Off Valuation Period;</w:t>
      </w:r>
    </w:p>
    <w:p>
      <w:pPr>
        <w:spacing w:after="0" w:line="170" w:lineRule="exact"/>
        <w:rPr>
          <w:sz w:val="20"/>
          <w:szCs w:val="20"/>
          <w:color w:val="auto"/>
        </w:rPr>
      </w:pPr>
    </w:p>
    <w:p>
      <w:pPr>
        <w:sectPr>
          <w:pgSz w:w="11900" w:h="16838" w:orient="portrait"/>
          <w:cols w:equalWidth="0" w:num="2">
            <w:col w:w="480" w:space="680"/>
            <w:col w:w="8960"/>
          </w:cols>
          <w:pgMar w:left="1440" w:top="908" w:right="339" w:bottom="1440" w:gutter="0" w:footer="0" w:header="0"/>
          <w:type w:val="continuous"/>
        </w:sectPr>
      </w:pPr>
    </w:p>
    <w:p>
      <w:pPr>
        <w:ind w:left="180"/>
        <w:spacing w:after="0"/>
        <w:rPr>
          <w:sz w:val="20"/>
          <w:szCs w:val="20"/>
          <w:color w:val="auto"/>
        </w:rPr>
      </w:pPr>
      <w:r>
        <w:rPr>
          <w:rFonts w:ascii="Arial" w:cs="Arial" w:eastAsia="Arial" w:hAnsi="Arial"/>
          <w:sz w:val="18"/>
          <w:szCs w:val="18"/>
          <w:i w:val="1"/>
          <w:iCs w:val="1"/>
          <w:color w:val="auto"/>
        </w:rPr>
        <w:t>FMV</w:t>
      </w:r>
    </w:p>
    <w:p>
      <w:pPr>
        <w:spacing w:after="0" w:line="20" w:lineRule="exact"/>
        <w:rPr>
          <w:sz w:val="20"/>
          <w:szCs w:val="20"/>
          <w:color w:val="auto"/>
        </w:rPr>
      </w:pPr>
      <w:r>
        <w:rPr>
          <w:sz w:val="20"/>
          <w:szCs w:val="20"/>
          <w:color w:val="auto"/>
        </w:rPr>
        <w:br w:type="column"/>
      </w:r>
    </w:p>
    <w:p>
      <w:pPr>
        <w:jc w:val="both"/>
        <w:ind w:hanging="319"/>
        <w:spacing w:after="0" w:line="255"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product of (x) the average of the Last Reported Sale Prices per share or unit of the Capital Stock or equity interests distributed in such Spin-Off over the ten (10) consecutive Trading Day period (the “</w:t>
      </w:r>
      <w:r>
        <w:rPr>
          <w:rFonts w:ascii="Arial" w:cs="Arial" w:eastAsia="Arial" w:hAnsi="Arial"/>
          <w:sz w:val="18"/>
          <w:szCs w:val="18"/>
          <w:b w:val="1"/>
          <w:bCs w:val="1"/>
          <w:color w:val="auto"/>
        </w:rPr>
        <w:t>Spin-Off Valuation Period</w:t>
      </w:r>
      <w:r>
        <w:rPr>
          <w:rFonts w:ascii="Arial" w:cs="Arial" w:eastAsia="Arial" w:hAnsi="Arial"/>
          <w:sz w:val="18"/>
          <w:szCs w:val="18"/>
          <w:color w:val="auto"/>
        </w:rPr>
        <w:t>”) beginning on, and including, such Ex-Dividend Date (such average to be determined as if references to Common Stock in the definitions of Last Reported Sale Price and Trading Day were instead references to such Capital Stock or equity interests); and (y) the number of shares or units of such Capital Stock or equity interests distributed per share of Common Stock in such Spin-Off; and</w:t>
      </w:r>
    </w:p>
    <w:p>
      <w:pPr>
        <w:spacing w:after="0" w:line="192" w:lineRule="exact"/>
        <w:rPr>
          <w:sz w:val="20"/>
          <w:szCs w:val="20"/>
          <w:color w:val="auto"/>
        </w:rPr>
      </w:pPr>
    </w:p>
    <w:p>
      <w:pPr>
        <w:sectPr>
          <w:pgSz w:w="11900" w:h="16838" w:orient="portrait"/>
          <w:cols w:equalWidth="0" w:num="2">
            <w:col w:w="560" w:space="600"/>
            <w:col w:w="8960"/>
          </w:cols>
          <w:pgMar w:left="1440" w:top="908" w:right="339" w:bottom="1440" w:gutter="0" w:footer="0" w:header="0"/>
          <w:type w:val="continuous"/>
        </w:sectPr>
      </w:pPr>
    </w:p>
    <w:p>
      <w:pPr>
        <w:ind w:left="180"/>
        <w:spacing w:after="0"/>
        <w:rPr>
          <w:sz w:val="20"/>
          <w:szCs w:val="20"/>
          <w:color w:val="auto"/>
        </w:rPr>
      </w:pPr>
      <w:r>
        <w:rPr>
          <w:rFonts w:ascii="Arial" w:cs="Arial" w:eastAsia="Arial" w:hAnsi="Arial"/>
          <w:sz w:val="13"/>
          <w:szCs w:val="13"/>
          <w:i w:val="1"/>
          <w:iCs w:val="1"/>
          <w:color w:val="auto"/>
        </w:rPr>
        <w:t>SP</w:t>
      </w:r>
    </w:p>
    <w:p>
      <w:pPr>
        <w:spacing w:after="0" w:line="20" w:lineRule="exact"/>
        <w:rPr>
          <w:sz w:val="20"/>
          <w:szCs w:val="20"/>
          <w:color w:val="auto"/>
        </w:rPr>
      </w:pPr>
      <w:r>
        <w:rPr>
          <w:sz w:val="20"/>
          <w:szCs w:val="20"/>
          <w:color w:val="auto"/>
        </w:rPr>
        <w:br w:type="column"/>
      </w:r>
    </w:p>
    <w:p>
      <w:pPr>
        <w:ind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per share of Common Stock for each Trading Day in the Spin-Off Valuation Period.</w:t>
      </w:r>
    </w:p>
    <w:p>
      <w:pPr>
        <w:spacing w:after="0" w:line="166" w:lineRule="exact"/>
        <w:rPr>
          <w:sz w:val="20"/>
          <w:szCs w:val="20"/>
          <w:color w:val="auto"/>
        </w:rPr>
      </w:pPr>
    </w:p>
    <w:p>
      <w:pPr>
        <w:sectPr>
          <w:pgSz w:w="11900" w:h="16838" w:orient="portrait"/>
          <w:cols w:equalWidth="0" w:num="2">
            <w:col w:w="440" w:space="720"/>
            <w:col w:w="8960"/>
          </w:cols>
          <w:pgMar w:left="1440" w:top="908" w:right="339" w:bottom="1440" w:gutter="0" w:footer="0" w:header="0"/>
          <w:type w:val="continuous"/>
        </w:sectPr>
      </w:pPr>
    </w:p>
    <w:p>
      <w:pPr>
        <w:jc w:val="both"/>
        <w:ind w:left="180"/>
        <w:spacing w:after="0" w:line="303"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b w:val="1"/>
          <w:bCs w:val="1"/>
          <w:color w:val="auto"/>
        </w:rPr>
        <w:t>Section 5.05(A)(iii)(2)</w:t>
      </w:r>
      <w:r>
        <w:rPr>
          <w:rFonts w:ascii="Arial" w:cs="Arial" w:eastAsia="Arial" w:hAnsi="Arial"/>
          <w:sz w:val="16"/>
          <w:szCs w:val="16"/>
          <w:color w:val="auto"/>
        </w:rPr>
        <w:t>, if any VWAP Trading Day of the Observation Period for a Note to be converted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w:t>
      </w:r>
    </w:p>
    <w:p>
      <w:pPr>
        <w:spacing w:after="0" w:line="151" w:lineRule="exact"/>
        <w:rPr>
          <w:sz w:val="20"/>
          <w:szCs w:val="20"/>
          <w:color w:val="auto"/>
        </w:rPr>
      </w:pPr>
    </w:p>
    <w:p>
      <w:pPr>
        <w:jc w:val="both"/>
        <w:ind w:left="180"/>
        <w:spacing w:after="0" w:line="266" w:lineRule="auto"/>
        <w:rPr>
          <w:sz w:val="20"/>
          <w:szCs w:val="20"/>
          <w:color w:val="auto"/>
        </w:rPr>
      </w:pPr>
      <w:r>
        <w:rPr>
          <w:rFonts w:ascii="Arial" w:cs="Arial" w:eastAsia="Arial" w:hAnsi="Arial"/>
          <w:sz w:val="18"/>
          <w:szCs w:val="18"/>
          <w:color w:val="auto"/>
        </w:rPr>
        <w:t xml:space="preserve">To the extent any dividend or distribution of the type set forth in this </w:t>
      </w:r>
      <w:r>
        <w:rPr>
          <w:rFonts w:ascii="Arial" w:cs="Arial" w:eastAsia="Arial" w:hAnsi="Arial"/>
          <w:sz w:val="18"/>
          <w:szCs w:val="18"/>
          <w:b w:val="1"/>
          <w:bCs w:val="1"/>
          <w:color w:val="auto"/>
        </w:rPr>
        <w:t>Section 5.05(A)(iii)(2)</w:t>
      </w:r>
      <w:r>
        <w:rPr>
          <w:rFonts w:ascii="Arial" w:cs="Arial" w:eastAsia="Arial" w:hAnsi="Arial"/>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39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type w:val="continuous"/>
        </w:sectPr>
      </w:pPr>
    </w:p>
    <w:bookmarkStart w:id="60" w:name="page61"/>
    <w:bookmarkEnd w:id="60"/>
    <w:p>
      <w:pPr>
        <w:ind w:left="4" w:right="20" w:firstLine="644"/>
        <w:spacing w:after="0" w:line="277" w:lineRule="auto"/>
        <w:tabs>
          <w:tab w:leader="none" w:pos="1591"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Cash Dividends or Distributions</w:t>
      </w:r>
      <w:r>
        <w:rPr>
          <w:rFonts w:ascii="Arial" w:cs="Arial" w:eastAsia="Arial" w:hAnsi="Arial"/>
          <w:sz w:val="18"/>
          <w:szCs w:val="18"/>
          <w:color w:val="auto"/>
        </w:rPr>
        <w:t>. If any cash dividend or distribution is made to all or substantially all holders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117475</wp:posOffset>
            </wp:positionV>
            <wp:extent cx="1191260" cy="386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912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240" w:type="dxa"/>
            <w:vAlign w:val="bottom"/>
          </w:tcPr>
          <w:p>
            <w:pPr>
              <w:spacing w:after="0"/>
              <w:rPr>
                <w:sz w:val="20"/>
                <w:szCs w:val="20"/>
                <w:color w:val="auto"/>
              </w:rPr>
            </w:pPr>
          </w:p>
        </w:tc>
        <w:tc>
          <w:tcPr>
            <w:tcW w:w="9460" w:type="dxa"/>
            <w:vAlign w:val="bottom"/>
          </w:tcPr>
          <w:p>
            <w:pPr>
              <w:spacing w:after="0"/>
              <w:rPr>
                <w:sz w:val="20"/>
                <w:szCs w:val="20"/>
                <w:color w:val="auto"/>
              </w:rPr>
            </w:pPr>
          </w:p>
        </w:tc>
      </w:tr>
      <w:tr>
        <w:trPr>
          <w:trHeight w:val="463"/>
        </w:trPr>
        <w:tc>
          <w:tcPr>
            <w:tcW w:w="56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9700" w:type="dxa"/>
            <w:vAlign w:val="bottom"/>
            <w:gridSpan w:val="2"/>
          </w:tcPr>
          <w:p>
            <w:pPr>
              <w:ind w:left="80"/>
              <w:spacing w:after="0"/>
              <w:rPr>
                <w:sz w:val="20"/>
                <w:szCs w:val="20"/>
                <w:color w:val="auto"/>
              </w:rPr>
            </w:pPr>
            <w:r>
              <w:rPr>
                <w:rFonts w:ascii="Arial" w:cs="Arial" w:eastAsia="Arial" w:hAnsi="Arial"/>
                <w:sz w:val="18"/>
                <w:szCs w:val="18"/>
                <w:color w:val="auto"/>
                <w:w w:val="92"/>
              </w:rPr>
              <w:t>= the Conversion Rate in effect immediately before the Open of Business on the Ex-Dividend Date for such dividend or distribution;</w:t>
            </w:r>
          </w:p>
        </w:tc>
      </w:tr>
      <w:tr>
        <w:trPr>
          <w:trHeight w:val="446"/>
        </w:trPr>
        <w:tc>
          <w:tcPr>
            <w:tcW w:w="56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5"/>
        </w:trPr>
        <w:tc>
          <w:tcPr>
            <w:tcW w:w="560" w:type="dxa"/>
            <w:vAlign w:val="bottom"/>
          </w:tcPr>
          <w:p>
            <w:pPr>
              <w:spacing w:after="0"/>
              <w:rPr>
                <w:sz w:val="20"/>
                <w:szCs w:val="20"/>
                <w:color w:val="auto"/>
              </w:rPr>
            </w:pPr>
            <w:r>
              <w:rPr>
                <w:rFonts w:ascii="Arial" w:cs="Arial" w:eastAsia="Arial" w:hAnsi="Arial"/>
                <w:sz w:val="18"/>
                <w:szCs w:val="18"/>
                <w:i w:val="1"/>
                <w:iCs w:val="1"/>
                <w:color w:val="auto"/>
              </w:rPr>
              <w:t>SP</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60"/>
              <w:spacing w:after="0"/>
              <w:rPr>
                <w:sz w:val="20"/>
                <w:szCs w:val="20"/>
                <w:color w:val="auto"/>
              </w:rPr>
            </w:pPr>
            <w:r>
              <w:rPr>
                <w:rFonts w:ascii="Arial" w:cs="Arial" w:eastAsia="Arial" w:hAnsi="Arial"/>
                <w:sz w:val="18"/>
                <w:szCs w:val="18"/>
                <w:color w:val="auto"/>
              </w:rPr>
              <w:t>the Daily VWAP of Common Stock on the Trading Day immediately before such Ex-Dividend Date; and</w:t>
            </w:r>
          </w:p>
        </w:tc>
      </w:tr>
    </w:tbl>
    <w:p>
      <w:pPr>
        <w:spacing w:after="0" w:line="202" w:lineRule="exact"/>
        <w:rPr>
          <w:sz w:val="20"/>
          <w:szCs w:val="20"/>
          <w:color w:val="auto"/>
        </w:rPr>
      </w:pPr>
    </w:p>
    <w:p>
      <w:pPr>
        <w:ind w:left="644" w:hanging="644"/>
        <w:spacing w:after="0"/>
        <w:tabs>
          <w:tab w:leader="none" w:pos="644" w:val="left"/>
        </w:tabs>
        <w:numPr>
          <w:ilvl w:val="0"/>
          <w:numId w:val="74"/>
        </w:numPr>
        <w:rPr>
          <w:rFonts w:ascii="Arial" w:cs="Arial" w:eastAsia="Arial" w:hAnsi="Arial"/>
          <w:sz w:val="18"/>
          <w:szCs w:val="18"/>
          <w:i w:val="1"/>
          <w:iCs w:val="1"/>
          <w:color w:val="auto"/>
        </w:rPr>
      </w:pPr>
      <w:r>
        <w:rPr>
          <w:rFonts w:ascii="Arial" w:cs="Arial" w:eastAsia="Arial" w:hAnsi="Arial"/>
          <w:sz w:val="18"/>
          <w:szCs w:val="18"/>
          <w:color w:val="auto"/>
        </w:rPr>
        <w:t>= the cash amount distributed per share of Common Stock in such dividend or distribution;</w:t>
      </w:r>
    </w:p>
    <w:p>
      <w:pPr>
        <w:spacing w:after="0" w:line="22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w:t>
      </w:r>
      <w:r>
        <w:rPr>
          <w:rFonts w:ascii="Arial" w:cs="Arial" w:eastAsia="Arial" w:hAnsi="Arial"/>
          <w:sz w:val="18"/>
          <w:szCs w:val="18"/>
          <w:i w:val="1"/>
          <w:iCs w:val="1"/>
          <w:color w:val="auto"/>
        </w:rPr>
        <w:t xml:space="preserve"> D </w:t>
      </w:r>
      <w:r>
        <w:rPr>
          <w:rFonts w:ascii="Arial" w:cs="Arial" w:eastAsia="Arial" w:hAnsi="Arial"/>
          <w:sz w:val="18"/>
          <w:szCs w:val="18"/>
          <w:color w:val="auto"/>
        </w:rPr>
        <w:t>is equal to or greater than</w:t>
      </w:r>
      <w:r>
        <w:rPr>
          <w:rFonts w:ascii="Arial" w:cs="Arial" w:eastAsia="Arial" w:hAnsi="Arial"/>
          <w:sz w:val="18"/>
          <w:szCs w:val="18"/>
          <w:i w:val="1"/>
          <w:iCs w:val="1"/>
          <w:color w:val="auto"/>
        </w:rPr>
        <w:t xml:space="preserve"> SP</w:t>
      </w:r>
      <w:r>
        <w:rPr>
          <w:rFonts w:ascii="Arial" w:cs="Arial" w:eastAsia="Arial" w:hAnsi="Arial"/>
          <w:sz w:val="18"/>
          <w:szCs w:val="18"/>
          <w:color w:val="auto"/>
        </w:rPr>
        <w:t>, then, in lieu of the foregoing adjustment to the Conversion Rate, each Holder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if such Holder had owned, on such record date, a number of shares of Common Stock equal to the Conversion Rate in effect on such record date.</w:t>
      </w:r>
    </w:p>
    <w:p>
      <w:pPr>
        <w:spacing w:after="0" w:line="188" w:lineRule="exact"/>
        <w:rPr>
          <w:sz w:val="20"/>
          <w:szCs w:val="20"/>
          <w:color w:val="auto"/>
        </w:rPr>
      </w:pPr>
    </w:p>
    <w:p>
      <w:pPr>
        <w:jc w:val="both"/>
        <w:ind w:left="4"/>
        <w:spacing w:after="0" w:line="308" w:lineRule="auto"/>
        <w:rPr>
          <w:sz w:val="20"/>
          <w:szCs w:val="20"/>
          <w:color w:val="auto"/>
        </w:rPr>
      </w:pPr>
      <w:r>
        <w:rPr>
          <w:rFonts w:ascii="Arial" w:cs="Arial" w:eastAsia="Arial" w:hAnsi="Arial"/>
          <w:sz w:val="17"/>
          <w:szCs w:val="17"/>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46" w:lineRule="exact"/>
        <w:rPr>
          <w:sz w:val="20"/>
          <w:szCs w:val="20"/>
          <w:color w:val="auto"/>
        </w:rPr>
      </w:pPr>
    </w:p>
    <w:p>
      <w:pPr>
        <w:jc w:val="both"/>
        <w:ind w:left="4" w:firstLine="644"/>
        <w:spacing w:after="0" w:line="273" w:lineRule="auto"/>
        <w:tabs>
          <w:tab w:leader="none" w:pos="1451"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Tender Offers or Exchange Offers</w:t>
      </w:r>
      <w:r>
        <w:rPr>
          <w:rFonts w:ascii="Arial" w:cs="Arial" w:eastAsia="Arial" w:hAnsi="Arial"/>
          <w:sz w:val="17"/>
          <w:szCs w:val="17"/>
          <w:color w:val="auto"/>
        </w:rPr>
        <w:t>. If the Company or any of its Subsidiaries makes a payment in respect of a tender offer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offer for shares of Common Stock (other than solely pursuant to an odd-lot tender offer pursuant to Rule 13e-4(h)(5) under the Exchange Act), and the value (determined as of the Expiration Time by the Board of Directors) of the cash and other consideration paid per share of Common Stock in such tender or exchange offer exceeds the Last Reported Sale Price per share of Common Stock on the Trading Day immediately after the last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on which tenders or exchanges may be made pursuant to such tender or exchange offer (as it may be amended), then the Conversion Rate will be increased based on the following formula:</w:t>
      </w:r>
    </w:p>
    <w:p>
      <w:pPr>
        <w:spacing w:after="0" w:line="393" w:lineRule="exact"/>
        <w:rPr>
          <w:rFonts w:ascii="Arial" w:cs="Arial" w:eastAsia="Arial" w:hAnsi="Arial"/>
          <w:sz w:val="17"/>
          <w:szCs w:val="17"/>
          <w:color w:val="auto"/>
        </w:rPr>
      </w:pPr>
    </w:p>
    <w:p>
      <w:pPr>
        <w:ind w:left="4884" w:hanging="111"/>
        <w:spacing w:after="0"/>
        <w:tabs>
          <w:tab w:leader="none" w:pos="4884" w:val="left"/>
        </w:tabs>
        <w:numPr>
          <w:ilvl w:val="1"/>
          <w:numId w:val="75"/>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1" w:name="page62"/>
    <w:bookmarkEnd w:id="6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586105</wp:posOffset>
            </wp:positionV>
            <wp:extent cx="1680210" cy="360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680210"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w w:val="96"/>
              </w:rPr>
              <w:t>the Conversion Rate in effect immediately before the Close of Business on the last Trading Day of the Tender/Exchange Offer</w:t>
            </w: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Valuation Period for such tender or exchange offer;</w:t>
            </w:r>
          </w:p>
        </w:tc>
      </w:tr>
      <w:tr>
        <w:trPr>
          <w:trHeight w:val="418"/>
        </w:trPr>
        <w:tc>
          <w:tcPr>
            <w:tcW w:w="56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w w:val="91"/>
              </w:rPr>
              <w:t>= the Conversion Rate in effect immediately after the Close of Business on the last Trading Day of the Tender/Exchange Offer Valuation</w:t>
            </w: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Period;</w:t>
            </w:r>
          </w:p>
        </w:tc>
      </w:tr>
      <w:tr>
        <w:trPr>
          <w:trHeight w:val="417"/>
        </w:trPr>
        <w:tc>
          <w:tcPr>
            <w:tcW w:w="560" w:type="dxa"/>
            <w:vAlign w:val="bottom"/>
          </w:tcPr>
          <w:p>
            <w:pPr>
              <w:spacing w:after="0"/>
              <w:rPr>
                <w:sz w:val="20"/>
                <w:szCs w:val="20"/>
                <w:color w:val="auto"/>
              </w:rPr>
            </w:pPr>
            <w:r>
              <w:rPr>
                <w:rFonts w:ascii="Arial" w:cs="Arial" w:eastAsia="Arial" w:hAnsi="Arial"/>
                <w:sz w:val="18"/>
                <w:szCs w:val="18"/>
                <w:i w:val="1"/>
                <w:iCs w:val="1"/>
                <w:color w:val="auto"/>
              </w:rPr>
              <w:t>AC</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w w:val="96"/>
              </w:rPr>
              <w:t>the aggregate value (determined as of the time (the “</w:t>
            </w:r>
            <w:r>
              <w:rPr>
                <w:rFonts w:ascii="Arial" w:cs="Arial" w:eastAsia="Arial" w:hAnsi="Arial"/>
                <w:sz w:val="18"/>
                <w:szCs w:val="18"/>
                <w:b w:val="1"/>
                <w:bCs w:val="1"/>
                <w:color w:val="auto"/>
                <w:w w:val="96"/>
              </w:rPr>
              <w:t>Expiration Time</w:t>
            </w:r>
            <w:r>
              <w:rPr>
                <w:rFonts w:ascii="Arial" w:cs="Arial" w:eastAsia="Arial" w:hAnsi="Arial"/>
                <w:sz w:val="18"/>
                <w:szCs w:val="18"/>
                <w:color w:val="auto"/>
                <w:w w:val="96"/>
              </w:rPr>
              <w:t>”) such tender or exchange offer expires by the Board of</w:t>
            </w: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w w:val="98"/>
              </w:rPr>
              <w:t>Directors) of all cash and other consideration paid for shares of Common Stock purchased in such tender or exchange offer;</w:t>
            </w:r>
          </w:p>
        </w:tc>
      </w:tr>
      <w:tr>
        <w:trPr>
          <w:trHeight w:val="418"/>
        </w:trPr>
        <w:tc>
          <w:tcPr>
            <w:tcW w:w="56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0</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w w:val="93"/>
              </w:rPr>
              <w:t>= the number of shares of Common Stock outstanding immediately before the Expiration Time (before giving effect to the purchase of</w:t>
            </w: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all shares of Common Stock accepted for purchase or exchange in such tender or exchange offer);</w:t>
            </w:r>
          </w:p>
        </w:tc>
      </w:tr>
      <w:tr>
        <w:trPr>
          <w:trHeight w:val="418"/>
        </w:trPr>
        <w:tc>
          <w:tcPr>
            <w:tcW w:w="56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1</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w w:val="93"/>
              </w:rPr>
              <w:t>the number of shares of Common Stock outstanding immediately after the Expiration Time (excluding all shares of Common Stock</w:t>
            </w: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accepted for purchase or exchange in such tender or exchange offer); and</w:t>
            </w:r>
          </w:p>
        </w:tc>
      </w:tr>
      <w:tr>
        <w:trPr>
          <w:trHeight w:val="413"/>
        </w:trPr>
        <w:tc>
          <w:tcPr>
            <w:tcW w:w="560" w:type="dxa"/>
            <w:vAlign w:val="bottom"/>
          </w:tcPr>
          <w:p>
            <w:pPr>
              <w:spacing w:after="0"/>
              <w:rPr>
                <w:sz w:val="20"/>
                <w:szCs w:val="20"/>
                <w:color w:val="auto"/>
              </w:rPr>
            </w:pPr>
            <w:r>
              <w:rPr>
                <w:rFonts w:ascii="Arial" w:cs="Arial" w:eastAsia="Arial" w:hAnsi="Arial"/>
                <w:sz w:val="18"/>
                <w:szCs w:val="18"/>
                <w:i w:val="1"/>
                <w:iCs w:val="1"/>
                <w:color w:val="auto"/>
              </w:rPr>
              <w:t>SP</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the average of the Last Reported Sale Prices per of Common Stock over the ten (10) consecutive Trading Day period (the</w:t>
            </w:r>
          </w:p>
        </w:tc>
      </w:tr>
      <w:tr>
        <w:trPr>
          <w:trHeight w:val="234"/>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Tender/Exchange Offer Valuation Period</w:t>
            </w:r>
            <w:r>
              <w:rPr>
                <w:rFonts w:ascii="Arial" w:cs="Arial" w:eastAsia="Arial" w:hAnsi="Arial"/>
                <w:sz w:val="18"/>
                <w:szCs w:val="18"/>
                <w:color w:val="auto"/>
                <w:w w:val="94"/>
              </w:rPr>
              <w:t>”) beginning on, and including, the Trading Day immediately after the Expiration Date;</w:t>
            </w:r>
          </w:p>
        </w:tc>
      </w:tr>
    </w:tbl>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Conversion Rate will in no event be adjusted down pursuant to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5.05(A)(v)</w:t>
      </w:r>
      <w:r>
        <w:rPr>
          <w:rFonts w:ascii="Arial" w:cs="Arial" w:eastAsia="Arial" w:hAnsi="Arial"/>
          <w:sz w:val="17"/>
          <w:szCs w:val="17"/>
          <w:color w:val="auto"/>
        </w:rPr>
        <w:t>, except to the extent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the immediately following paragraph. Notwithstanding anything to the contrary in this </w:t>
      </w:r>
      <w:r>
        <w:rPr>
          <w:rFonts w:ascii="Arial" w:cs="Arial" w:eastAsia="Arial" w:hAnsi="Arial"/>
          <w:sz w:val="17"/>
          <w:szCs w:val="17"/>
          <w:b w:val="1"/>
          <w:bCs w:val="1"/>
          <w:color w:val="auto"/>
        </w:rPr>
        <w:t>Section 5.05(A)(v)</w:t>
      </w:r>
      <w:r>
        <w:rPr>
          <w:rFonts w:ascii="Arial" w:cs="Arial" w:eastAsia="Arial" w:hAnsi="Arial"/>
          <w:sz w:val="17"/>
          <w:szCs w:val="17"/>
          <w:color w:val="auto"/>
        </w:rPr>
        <w:t>, if any VWAP Trading Day of the Observation Period for a Note to be converted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w:t>
      </w:r>
    </w:p>
    <w:p>
      <w:pPr>
        <w:spacing w:after="0" w:line="39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62" w:name="page63"/>
    <w:bookmarkEnd w:id="62"/>
    <w:p>
      <w:pPr>
        <w:jc w:val="both"/>
        <w:ind w:left="4"/>
        <w:spacing w:after="0" w:line="257" w:lineRule="auto"/>
        <w:rPr>
          <w:sz w:val="20"/>
          <w:szCs w:val="20"/>
          <w:color w:val="auto"/>
        </w:rPr>
      </w:pPr>
      <w:r>
        <w:rPr>
          <w:rFonts w:ascii="Arial" w:cs="Arial" w:eastAsia="Arial" w:hAnsi="Arial"/>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88" w:lineRule="exact"/>
        <w:rPr>
          <w:sz w:val="20"/>
          <w:szCs w:val="20"/>
          <w:color w:val="auto"/>
        </w:rPr>
      </w:pPr>
    </w:p>
    <w:p>
      <w:pPr>
        <w:ind w:left="744" w:hanging="744"/>
        <w:spacing w:after="0"/>
        <w:tabs>
          <w:tab w:leader="none" w:pos="74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No Adjustments in Certain Cases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72" w:lineRule="auto"/>
        <w:tabs>
          <w:tab w:leader="none" w:pos="1636" w:val="left"/>
        </w:tabs>
        <w:numPr>
          <w:ilvl w:val="1"/>
          <w:numId w:val="76"/>
        </w:numPr>
        <w:rPr>
          <w:rFonts w:ascii="Arial" w:cs="Arial" w:eastAsia="Arial" w:hAnsi="Arial"/>
          <w:sz w:val="17"/>
          <w:szCs w:val="17"/>
          <w:color w:val="auto"/>
        </w:rPr>
      </w:pPr>
      <w:r>
        <w:rPr>
          <w:rFonts w:ascii="Arial" w:cs="Arial" w:eastAsia="Arial" w:hAnsi="Arial"/>
          <w:sz w:val="17"/>
          <w:szCs w:val="17"/>
          <w:i w:val="1"/>
          <w:iCs w:val="1"/>
          <w:color w:val="auto"/>
        </w:rPr>
        <w:t>Where Holders Participate in the Transaction or Event Without Conversion</w:t>
      </w:r>
      <w:r>
        <w:rPr>
          <w:rFonts w:ascii="Arial" w:cs="Arial" w:eastAsia="Arial" w:hAnsi="Arial"/>
          <w:sz w:val="17"/>
          <w:szCs w:val="17"/>
          <w:color w:val="auto"/>
        </w:rPr>
        <w:t>. Notwithstanding anything to the contrary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5.05(A)</w:t>
      </w:r>
      <w:r>
        <w:rPr>
          <w:rFonts w:ascii="Arial" w:cs="Arial" w:eastAsia="Arial" w:hAnsi="Arial"/>
          <w:sz w:val="17"/>
          <w:szCs w:val="17"/>
          <w:color w:val="auto"/>
        </w:rPr>
        <w:t>, the Company will not be obligated to adjust the Conversion Rate on account of a transaction or other event otherwise requiring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adjustment pursuant to </w:t>
      </w:r>
      <w:r>
        <w:rPr>
          <w:rFonts w:ascii="Arial" w:cs="Arial" w:eastAsia="Arial" w:hAnsi="Arial"/>
          <w:sz w:val="17"/>
          <w:szCs w:val="17"/>
          <w:b w:val="1"/>
          <w:bCs w:val="1"/>
          <w:color w:val="auto"/>
        </w:rPr>
        <w:t>Section 5.05(A)</w:t>
      </w:r>
      <w:r>
        <w:rPr>
          <w:rFonts w:ascii="Arial" w:cs="Arial" w:eastAsia="Arial" w:hAnsi="Arial"/>
          <w:sz w:val="17"/>
          <w:szCs w:val="17"/>
          <w:color w:val="auto"/>
        </w:rPr>
        <w:t xml:space="preserve"> (other than a stock split or combination of the type set forth in </w:t>
      </w:r>
      <w:r>
        <w:rPr>
          <w:rFonts w:ascii="Arial" w:cs="Arial" w:eastAsia="Arial" w:hAnsi="Arial"/>
          <w:sz w:val="17"/>
          <w:szCs w:val="17"/>
          <w:b w:val="1"/>
          <w:bCs w:val="1"/>
          <w:color w:val="auto"/>
        </w:rPr>
        <w:t>Section 5.05(A)(i)</w:t>
      </w:r>
      <w:r>
        <w:rPr>
          <w:rFonts w:ascii="Arial" w:cs="Arial" w:eastAsia="Arial" w:hAnsi="Arial"/>
          <w:sz w:val="17"/>
          <w:szCs w:val="17"/>
          <w:color w:val="auto"/>
        </w:rPr>
        <w:t xml:space="preserve"> or a tender or exchange offer of the type set forth in </w:t>
      </w:r>
      <w:r>
        <w:rPr>
          <w:rFonts w:ascii="Arial" w:cs="Arial" w:eastAsia="Arial" w:hAnsi="Arial"/>
          <w:sz w:val="17"/>
          <w:szCs w:val="17"/>
          <w:b w:val="1"/>
          <w:bCs w:val="1"/>
          <w:color w:val="auto"/>
        </w:rPr>
        <w:t>Section 5.05(A)(v)</w:t>
      </w:r>
      <w:r>
        <w:rPr>
          <w:rFonts w:ascii="Arial" w:cs="Arial" w:eastAsia="Arial" w:hAnsi="Arial"/>
          <w:sz w:val="17"/>
          <w:szCs w:val="17"/>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73" w:lineRule="exact"/>
        <w:rPr>
          <w:rFonts w:ascii="Arial" w:cs="Arial" w:eastAsia="Arial" w:hAnsi="Arial"/>
          <w:sz w:val="17"/>
          <w:szCs w:val="17"/>
          <w:color w:val="auto"/>
        </w:rPr>
      </w:pPr>
    </w:p>
    <w:p>
      <w:pPr>
        <w:ind w:left="1404" w:hanging="756"/>
        <w:spacing w:after="0"/>
        <w:tabs>
          <w:tab w:leader="none" w:pos="1404"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The Company will not be required to adjust the Conversion Rate except as provided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5.05</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w:t>
      </w:r>
    </w:p>
    <w:p>
      <w:pPr>
        <w:spacing w:after="0" w:line="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b w:val="1"/>
          <w:bCs w:val="1"/>
          <w:color w:val="auto"/>
        </w:rPr>
        <w:t>5.07</w:t>
      </w:r>
      <w:r>
        <w:rPr>
          <w:rFonts w:ascii="Arial" w:cs="Arial" w:eastAsia="Arial" w:hAnsi="Arial"/>
          <w:sz w:val="18"/>
          <w:szCs w:val="18"/>
          <w:color w:val="auto"/>
        </w:rPr>
        <w:t>. Without limiting the foregoing, the Company will not be obligated to adjust the Conversion Rate on account of:</w:t>
      </w:r>
    </w:p>
    <w:p>
      <w:pPr>
        <w:spacing w:after="0" w:line="206" w:lineRule="exact"/>
        <w:rPr>
          <w:rFonts w:ascii="Arial" w:cs="Arial" w:eastAsia="Arial" w:hAnsi="Arial"/>
          <w:sz w:val="16"/>
          <w:szCs w:val="16"/>
          <w:color w:val="auto"/>
        </w:rPr>
      </w:pPr>
    </w:p>
    <w:p>
      <w:pPr>
        <w:ind w:left="644" w:firstLine="652"/>
        <w:spacing w:after="0" w:line="282" w:lineRule="auto"/>
        <w:tabs>
          <w:tab w:leader="none" w:pos="2165"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b w:val="1"/>
          <w:bCs w:val="1"/>
          <w:color w:val="auto"/>
        </w:rPr>
        <w:t>Section 5.05</w:t>
      </w:r>
      <w:r>
        <w:rPr>
          <w:rFonts w:ascii="Arial" w:cs="Arial" w:eastAsia="Arial" w:hAnsi="Arial"/>
          <w:sz w:val="18"/>
          <w:szCs w:val="18"/>
          <w:color w:val="auto"/>
        </w:rPr>
        <w:t>, the sale of shares of Common Stock for a purchase price that is less than the market price per share of Common Stock or less than the Conversion Price;</w:t>
      </w:r>
    </w:p>
    <w:p>
      <w:pPr>
        <w:spacing w:after="0" w:line="165" w:lineRule="exact"/>
        <w:rPr>
          <w:rFonts w:ascii="Arial" w:cs="Arial" w:eastAsia="Arial" w:hAnsi="Arial"/>
          <w:sz w:val="18"/>
          <w:szCs w:val="18"/>
          <w:color w:val="auto"/>
        </w:rPr>
      </w:pPr>
    </w:p>
    <w:p>
      <w:pPr>
        <w:jc w:val="both"/>
        <w:ind w:left="644" w:firstLine="652"/>
        <w:spacing w:after="0" w:line="263" w:lineRule="auto"/>
        <w:tabs>
          <w:tab w:leader="none" w:pos="2089"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83" w:lineRule="exact"/>
        <w:rPr>
          <w:rFonts w:ascii="Arial" w:cs="Arial" w:eastAsia="Arial" w:hAnsi="Arial"/>
          <w:sz w:val="18"/>
          <w:szCs w:val="18"/>
          <w:color w:val="auto"/>
        </w:rPr>
      </w:pPr>
    </w:p>
    <w:p>
      <w:pPr>
        <w:ind w:left="644" w:firstLine="652"/>
        <w:spacing w:after="0" w:line="342" w:lineRule="auto"/>
        <w:tabs>
          <w:tab w:leader="none" w:pos="2042" w:val="left"/>
        </w:tabs>
        <w:numPr>
          <w:ilvl w:val="2"/>
          <w:numId w:val="76"/>
        </w:numPr>
        <w:rPr>
          <w:rFonts w:ascii="Arial" w:cs="Arial" w:eastAsia="Arial" w:hAnsi="Arial"/>
          <w:sz w:val="16"/>
          <w:szCs w:val="16"/>
          <w:color w:val="auto"/>
        </w:rPr>
      </w:pPr>
      <w:r>
        <w:rPr>
          <w:rFonts w:ascii="Arial" w:cs="Arial" w:eastAsia="Arial" w:hAnsi="Arial"/>
          <w:sz w:val="16"/>
          <w:szCs w:val="16"/>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23" w:lineRule="exact"/>
        <w:rPr>
          <w:rFonts w:ascii="Arial" w:cs="Arial" w:eastAsia="Arial" w:hAnsi="Arial"/>
          <w:sz w:val="16"/>
          <w:szCs w:val="16"/>
          <w:color w:val="auto"/>
        </w:rPr>
      </w:pPr>
    </w:p>
    <w:p>
      <w:pPr>
        <w:ind w:left="644" w:right="20" w:firstLine="652"/>
        <w:spacing w:after="0" w:line="277" w:lineRule="auto"/>
        <w:tabs>
          <w:tab w:leader="none" w:pos="2164"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option, warrant, right or convertible or exchangeable security of the Company outstanding as of the Issue Date;</w:t>
      </w:r>
    </w:p>
    <w:p>
      <w:pPr>
        <w:spacing w:after="0" w:line="170" w:lineRule="exact"/>
        <w:rPr>
          <w:rFonts w:ascii="Arial" w:cs="Arial" w:eastAsia="Arial" w:hAnsi="Arial"/>
          <w:sz w:val="18"/>
          <w:szCs w:val="18"/>
          <w:color w:val="auto"/>
        </w:rPr>
      </w:pPr>
    </w:p>
    <w:p>
      <w:pPr>
        <w:ind w:left="2004" w:hanging="708"/>
        <w:spacing w:after="0"/>
        <w:tabs>
          <w:tab w:leader="none" w:pos="2004" w:val="left"/>
        </w:tabs>
        <w:numPr>
          <w:ilvl w:val="2"/>
          <w:numId w:val="76"/>
        </w:numPr>
        <w:rPr>
          <w:rFonts w:ascii="Arial" w:cs="Arial" w:eastAsia="Arial" w:hAnsi="Arial"/>
          <w:sz w:val="18"/>
          <w:szCs w:val="18"/>
          <w:color w:val="auto"/>
        </w:rPr>
      </w:pPr>
      <w:r>
        <w:rPr>
          <w:rFonts w:ascii="Arial" w:cs="Arial" w:eastAsia="Arial" w:hAnsi="Arial"/>
          <w:sz w:val="18"/>
          <w:szCs w:val="18"/>
          <w:color w:val="auto"/>
        </w:rPr>
        <w:t>solely a change in the par value of the Common Stock; or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2"/>
          <w:numId w:val="76"/>
        </w:numPr>
        <w:rPr>
          <w:rFonts w:ascii="Arial" w:cs="Arial" w:eastAsia="Arial" w:hAnsi="Arial"/>
          <w:sz w:val="18"/>
          <w:szCs w:val="18"/>
          <w:color w:val="auto"/>
        </w:rPr>
      </w:pPr>
      <w:r>
        <w:rPr>
          <w:rFonts w:ascii="Arial" w:cs="Arial" w:eastAsia="Arial" w:hAnsi="Arial"/>
          <w:sz w:val="18"/>
          <w:szCs w:val="18"/>
          <w:color w:val="auto"/>
        </w:rPr>
        <w:t>accrued and unpaid interest on the Notes.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884" w:hanging="111"/>
        <w:spacing w:after="0"/>
        <w:tabs>
          <w:tab w:leader="none" w:pos="4884" w:val="left"/>
        </w:tabs>
        <w:numPr>
          <w:ilvl w:val="3"/>
          <w:numId w:val="76"/>
        </w:numPr>
        <w:rPr>
          <w:rFonts w:ascii="Arial" w:cs="Arial" w:eastAsia="Arial" w:hAnsi="Arial"/>
          <w:sz w:val="18"/>
          <w:szCs w:val="18"/>
          <w:color w:val="auto"/>
        </w:rPr>
      </w:pPr>
      <w:r>
        <w:rPr>
          <w:rFonts w:ascii="Arial" w:cs="Arial" w:eastAsia="Arial" w:hAnsi="Arial"/>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3" w:name="page64"/>
    <w:bookmarkEnd w:id="63"/>
    <w:p>
      <w:pPr>
        <w:jc w:val="both"/>
        <w:ind w:firstLine="656"/>
        <w:spacing w:after="0" w:line="256" w:lineRule="auto"/>
        <w:tabs>
          <w:tab w:leader="none" w:pos="14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If an adjustment to the Conversion Rate otherwise required by this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would result in a change of less than one percent (1%) to the Conversion Rate, then, notwithstanding anything to the contrary in this </w:t>
      </w:r>
      <w:r>
        <w:rPr>
          <w:rFonts w:ascii="Arial" w:cs="Arial" w:eastAsia="Arial" w:hAnsi="Arial"/>
          <w:sz w:val="18"/>
          <w:szCs w:val="18"/>
          <w:b w:val="1"/>
          <w:bCs w:val="1"/>
          <w:color w:val="auto"/>
        </w:rPr>
        <w:t>Article 5</w:t>
      </w:r>
      <w:r>
        <w:rPr>
          <w:rFonts w:ascii="Arial" w:cs="Arial" w:eastAsia="Arial" w:hAnsi="Arial"/>
          <w:sz w:val="18"/>
          <w:szCs w:val="18"/>
          <w:color w:val="auto"/>
        </w:rPr>
        <w:t>, the Company may, at its election, defer such adjustment, except that all such deferred adjustments must be given effect immediately upon the earliest of the following: (i) when all such deferred adjustments would result in a change of at least one percent (1%) to the Conversion Rate; (ii) any VWAP Trading Day of an Observation Period for, any Note; (iii) the date a Fundamental Change or Make-Whole Fundamental Change occurs; (iv) the date the Company call any Notes for Redemption; and (v) the fifty-fifth (55th) Scheduled Trading Day immediately before the Maturity Date.</w:t>
      </w:r>
    </w:p>
    <w:p>
      <w:pPr>
        <w:spacing w:after="0" w:line="191" w:lineRule="exact"/>
        <w:rPr>
          <w:rFonts w:ascii="Arial" w:cs="Arial" w:eastAsia="Arial" w:hAnsi="Arial"/>
          <w:sz w:val="18"/>
          <w:szCs w:val="18"/>
          <w:color w:val="auto"/>
        </w:rPr>
      </w:pPr>
    </w:p>
    <w:p>
      <w:pPr>
        <w:ind w:left="1360" w:hanging="704"/>
        <w:spacing w:after="0"/>
        <w:tabs>
          <w:tab w:leader="none" w:pos="13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Adjustments Not Yet Effective. </w:t>
      </w:r>
      <w:r>
        <w:rPr>
          <w:rFonts w:ascii="Arial" w:cs="Arial" w:eastAsia="Arial" w:hAnsi="Arial"/>
          <w:sz w:val="18"/>
          <w:szCs w:val="18"/>
          <w:color w:val="auto"/>
        </w:rPr>
        <w:t>Notwithstanding anything to the contrary in this Indenture or the Notes, if:</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Note is to be converted pursuant to Combination Settlement;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03"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record date, effective date or Expiration Time for any event that requires an adjustment to the Conversion Rate pursuant to </w:t>
      </w:r>
      <w:r>
        <w:rPr>
          <w:rFonts w:ascii="Arial" w:cs="Arial" w:eastAsia="Arial" w:hAnsi="Arial"/>
          <w:sz w:val="18"/>
          <w:szCs w:val="18"/>
          <w:b w:val="1"/>
          <w:bCs w:val="1"/>
          <w:color w:val="auto"/>
        </w:rPr>
        <w:t xml:space="preserve">Section 5.05(A) </w:t>
      </w:r>
      <w:r>
        <w:rPr>
          <w:rFonts w:ascii="Arial" w:cs="Arial" w:eastAsia="Arial" w:hAnsi="Arial"/>
          <w:sz w:val="18"/>
          <w:szCs w:val="18"/>
          <w:color w:val="auto"/>
        </w:rPr>
        <w:t>has occurred on or before any VWAP Trading Day in the Observation Period for such conversion, but an adjustment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Rate for such event has not yet become effective as of such VWAP Trading Day;</w:t>
      </w:r>
    </w:p>
    <w:p>
      <w:pPr>
        <w:spacing w:after="0" w:line="183" w:lineRule="exact"/>
        <w:rPr>
          <w:rFonts w:ascii="Arial" w:cs="Arial" w:eastAsia="Arial" w:hAnsi="Arial"/>
          <w:sz w:val="18"/>
          <w:szCs w:val="18"/>
          <w:color w:val="auto"/>
        </w:rPr>
      </w:pPr>
    </w:p>
    <w:p>
      <w:pPr>
        <w:ind w:left="2120" w:hanging="816"/>
        <w:spacing w:after="0"/>
        <w:tabs>
          <w:tab w:leader="none" w:pos="21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Conversion Consideration due in respect of such VWAP Trading Day includes any whole or fractional shares of Common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Stock; and</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such shares are not entitled to participate in such event (because they were not held on the related record date or otherwise),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solely for purposes of such conversion, the Company will, without duplication, give effect to such adjustment on such VWAP Trading Day.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87" w:lineRule="exact"/>
        <w:rPr>
          <w:sz w:val="20"/>
          <w:szCs w:val="20"/>
          <w:color w:val="auto"/>
        </w:rPr>
      </w:pPr>
    </w:p>
    <w:p>
      <w:pPr>
        <w:ind w:firstLine="656"/>
        <w:spacing w:after="0" w:line="277" w:lineRule="auto"/>
        <w:tabs>
          <w:tab w:leader="none" w:pos="1399"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Conversion Rate Adjustments where Converting Holders Participate in the Relevant Transaction or Event. </w:t>
      </w:r>
      <w:r>
        <w:rPr>
          <w:rFonts w:ascii="Arial" w:cs="Arial" w:eastAsia="Arial" w:hAnsi="Arial"/>
          <w:sz w:val="18"/>
          <w:szCs w:val="18"/>
          <w:color w:val="auto"/>
        </w:rPr>
        <w:t>Notwithstanding anything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contrary in this Indenture or the Notes, if:</w:t>
      </w:r>
    </w:p>
    <w:p>
      <w:pPr>
        <w:spacing w:after="0" w:line="166" w:lineRule="exact"/>
        <w:rPr>
          <w:rFonts w:ascii="Arial" w:cs="Arial" w:eastAsia="Arial" w:hAnsi="Arial"/>
          <w:sz w:val="18"/>
          <w:szCs w:val="18"/>
          <w:color w:val="auto"/>
        </w:rPr>
      </w:pPr>
    </w:p>
    <w:p>
      <w:pPr>
        <w:ind w:left="2060" w:hanging="756"/>
        <w:spacing w:after="0"/>
        <w:tabs>
          <w:tab w:leader="none" w:pos="20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a Conversion Rate adjustment for any dividend or distribution becomes effective on any Ex-Dividend Date pursuant to </w:t>
      </w:r>
      <w:r>
        <w:rPr>
          <w:rFonts w:ascii="Arial" w:cs="Arial" w:eastAsia="Arial" w:hAnsi="Arial"/>
          <w:sz w:val="16"/>
          <w:szCs w:val="16"/>
          <w:b w:val="1"/>
          <w:bCs w:val="1"/>
          <w:color w:val="auto"/>
        </w:rPr>
        <w:t>Section</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5.05(A)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Note is to be converted pursuant to Combination Settlement;</w:t>
      </w:r>
    </w:p>
    <w:p>
      <w:pPr>
        <w:spacing w:after="0" w:line="225" w:lineRule="exact"/>
        <w:rPr>
          <w:rFonts w:ascii="Arial" w:cs="Arial" w:eastAsia="Arial" w:hAnsi="Arial"/>
          <w:sz w:val="18"/>
          <w:szCs w:val="18"/>
          <w:color w:val="auto"/>
        </w:rPr>
      </w:pPr>
    </w:p>
    <w:p>
      <w:pPr>
        <w:ind w:left="660" w:firstLine="644"/>
        <w:spacing w:after="0" w:line="277" w:lineRule="auto"/>
        <w:tabs>
          <w:tab w:leader="none" w:pos="217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VWAP Trading Day in the Observation Period for such conversion occurs on or after such Ex-Dividend Date and on or before the related record date;</w:t>
      </w:r>
    </w:p>
    <w:p>
      <w:pPr>
        <w:spacing w:after="0" w:line="170" w:lineRule="exact"/>
        <w:rPr>
          <w:rFonts w:ascii="Arial" w:cs="Arial" w:eastAsia="Arial" w:hAnsi="Arial"/>
          <w:sz w:val="18"/>
          <w:szCs w:val="18"/>
          <w:color w:val="auto"/>
        </w:rPr>
      </w:pPr>
    </w:p>
    <w:p>
      <w:pPr>
        <w:ind w:left="660" w:firstLine="644"/>
        <w:spacing w:after="0" w:line="277" w:lineRule="auto"/>
        <w:tabs>
          <w:tab w:leader="none" w:pos="211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Conversion Consideration due in respect of such VWAP Trading Day includes any whole or fractional shares of Common Stock based on a Conversion Rate that is adjusted for such dividend or distribution; and</w:t>
      </w:r>
    </w:p>
    <w:p>
      <w:pPr>
        <w:spacing w:after="0" w:line="166" w:lineRule="exact"/>
        <w:rPr>
          <w:rFonts w:ascii="Arial" w:cs="Arial" w:eastAsia="Arial" w:hAnsi="Arial"/>
          <w:sz w:val="18"/>
          <w:szCs w:val="18"/>
          <w:color w:val="auto"/>
        </w:rPr>
      </w:pPr>
    </w:p>
    <w:p>
      <w:pPr>
        <w:ind w:left="2060" w:hanging="756"/>
        <w:spacing w:after="0"/>
        <w:tabs>
          <w:tab w:leader="none" w:pos="20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such shares would be entitled to participate in such dividend or distribution (including pursuant to </w:t>
      </w:r>
      <w:r>
        <w:rPr>
          <w:rFonts w:ascii="Arial" w:cs="Arial" w:eastAsia="Arial" w:hAnsi="Arial"/>
          <w:sz w:val="18"/>
          <w:szCs w:val="18"/>
          <w:b w:val="1"/>
          <w:bCs w:val="1"/>
          <w:color w:val="auto"/>
        </w:rPr>
        <w:t>Section 5.02(C)</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5540" w:hanging="111"/>
        <w:spacing w:after="0"/>
        <w:tabs>
          <w:tab w:leader="none" w:pos="5540" w:val="left"/>
        </w:tabs>
        <w:numPr>
          <w:ilvl w:val="2"/>
          <w:numId w:val="78"/>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then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84" w:lineRule="exact"/>
        <w:rPr>
          <w:sz w:val="20"/>
          <w:szCs w:val="20"/>
          <w:color w:val="auto"/>
        </w:rPr>
      </w:pPr>
    </w:p>
    <w:p>
      <w:pPr>
        <w:jc w:val="both"/>
        <w:ind w:firstLine="656"/>
        <w:spacing w:after="0" w:line="272" w:lineRule="auto"/>
        <w:tabs>
          <w:tab w:leader="none" w:pos="1565"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Stockholder Rights Plans</w:t>
      </w:r>
      <w:r>
        <w:rPr>
          <w:rFonts w:ascii="Arial" w:cs="Arial" w:eastAsia="Arial" w:hAnsi="Arial"/>
          <w:sz w:val="17"/>
          <w:szCs w:val="17"/>
          <w:color w:val="auto"/>
        </w:rPr>
        <w:t>. If the Company has a stockholder rights plan in effect upon the conversion of any Notes into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the person to whom such shares are to be delivered upon conversion will receive, in addition to any shares of Common Stock received in connection with such conversion, the rights under the stockholder rights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prior to any conversion of Notes, the rights pursuant to any such stockholder rights plan have separated from the shares of Common Stock in accordance with the provisions of such stockholder rights plan, then the Conversion Rate will be adjusted pursuant to </w:t>
      </w:r>
      <w:r>
        <w:rPr>
          <w:rFonts w:ascii="Arial" w:cs="Arial" w:eastAsia="Arial" w:hAnsi="Arial"/>
          <w:sz w:val="17"/>
          <w:szCs w:val="17"/>
          <w:b w:val="1"/>
          <w:bCs w:val="1"/>
          <w:color w:val="auto"/>
        </w:rPr>
        <w:t>Section 5.05(A)(iii)(1)</w:t>
      </w:r>
      <w:r>
        <w:rPr>
          <w:rFonts w:ascii="Arial" w:cs="Arial" w:eastAsia="Arial" w:hAnsi="Arial"/>
          <w:sz w:val="17"/>
          <w:szCs w:val="17"/>
          <w:color w:val="auto"/>
        </w:rPr>
        <w:t xml:space="preserve"> at the time of separation as if the Company distributed to all or substantially all holders of Common Stock, shares of its Capital Stock, evidences of indebtedness, assets, property, rights, options or warrants of the type set forth in such section, subject to readjustment in accordance with such section.</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40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Limitation on Effecting Transactions Resulting in Certain Adjustments</w:t>
      </w:r>
      <w:r>
        <w:rPr>
          <w:rFonts w:ascii="Arial" w:cs="Arial" w:eastAsia="Arial" w:hAnsi="Arial"/>
          <w:sz w:val="18"/>
          <w:szCs w:val="18"/>
          <w:color w:val="auto"/>
        </w:rPr>
        <w:t>. The Company will not engage in or be a party to any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event that would require the Conversion Rate to be adjusted pursuant to </w:t>
      </w:r>
      <w:r>
        <w:rPr>
          <w:rFonts w:ascii="Arial" w:cs="Arial" w:eastAsia="Arial" w:hAnsi="Arial"/>
          <w:sz w:val="18"/>
          <w:szCs w:val="18"/>
          <w:b w:val="1"/>
          <w:bCs w:val="1"/>
          <w:color w:val="auto"/>
        </w:rPr>
        <w:t>Section 5.05(A)</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to an amount that would result in the Conversion Price per share of Common Stock being less than the par value per share of Common Stock.</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487"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Equitable Adjustments to Prices</w:t>
      </w:r>
      <w:r>
        <w:rPr>
          <w:rFonts w:ascii="Arial" w:cs="Arial" w:eastAsia="Arial" w:hAnsi="Arial"/>
          <w:sz w:val="18"/>
          <w:szCs w:val="18"/>
          <w:color w:val="auto"/>
        </w:rPr>
        <w:t>. Whenever any provision of this Indenture requires the Company to calculate the Last Reported Sale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the Daily VWAPs, the Daily Conversion Values, the Daily Cash Amounts or the Daily Share Amounts over a span of multiple days (including over an Observation Period and the period, if any, for determining the Stock Price),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the Daily Cash Amounts or the Daily Share Amounts are to be calculated.</w:t>
      </w:r>
    </w:p>
    <w:p>
      <w:pPr>
        <w:spacing w:after="0" w:line="190" w:lineRule="exact"/>
        <w:rPr>
          <w:rFonts w:ascii="Arial" w:cs="Arial" w:eastAsia="Arial" w:hAnsi="Arial"/>
          <w:sz w:val="18"/>
          <w:szCs w:val="18"/>
          <w:color w:val="auto"/>
        </w:rPr>
      </w:pPr>
    </w:p>
    <w:p>
      <w:pPr>
        <w:jc w:val="both"/>
        <w:ind w:firstLine="656"/>
        <w:spacing w:after="0" w:line="261" w:lineRule="auto"/>
        <w:tabs>
          <w:tab w:leader="none" w:pos="147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Calculation of Number of Outstanding Shares of Common Stock</w:t>
      </w:r>
      <w:r>
        <w:rPr>
          <w:rFonts w:ascii="Arial" w:cs="Arial" w:eastAsia="Arial" w:hAnsi="Arial"/>
          <w:sz w:val="18"/>
          <w:szCs w:val="18"/>
          <w:color w:val="auto"/>
        </w:rPr>
        <w:t>. For purposes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5.05(A)</w:t>
      </w:r>
      <w:r>
        <w:rPr>
          <w:rFonts w:ascii="Arial" w:cs="Arial" w:eastAsia="Arial" w:hAnsi="Arial"/>
          <w:sz w:val="18"/>
          <w:szCs w:val="18"/>
          <w:color w:val="auto"/>
        </w:rPr>
        <w:t>,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83" w:lineRule="exact"/>
        <w:rPr>
          <w:rFonts w:ascii="Arial" w:cs="Arial" w:eastAsia="Arial" w:hAnsi="Arial"/>
          <w:sz w:val="18"/>
          <w:szCs w:val="18"/>
          <w:color w:val="auto"/>
        </w:rPr>
      </w:pPr>
    </w:p>
    <w:p>
      <w:pPr>
        <w:ind w:firstLine="656"/>
        <w:spacing w:after="0" w:line="277" w:lineRule="auto"/>
        <w:tabs>
          <w:tab w:leader="none" w:pos="1459"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Calculations</w:t>
      </w:r>
      <w:r>
        <w:rPr>
          <w:rFonts w:ascii="Arial" w:cs="Arial" w:eastAsia="Arial" w:hAnsi="Arial"/>
          <w:sz w:val="18"/>
          <w:szCs w:val="18"/>
          <w:color w:val="auto"/>
        </w:rPr>
        <w:t>. All calculations with respect to the Conversion Rate and adjustments thereto will be made to the nearest 1/10,000th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Common Stock (with 5/100,000ths rounded upward), as applicable.</w:t>
      </w:r>
    </w:p>
    <w:p>
      <w:pPr>
        <w:spacing w:after="0" w:line="386" w:lineRule="exact"/>
        <w:rPr>
          <w:rFonts w:ascii="Arial" w:cs="Arial" w:eastAsia="Arial" w:hAnsi="Arial"/>
          <w:sz w:val="18"/>
          <w:szCs w:val="18"/>
          <w:color w:val="auto"/>
        </w:rPr>
      </w:pPr>
    </w:p>
    <w:p>
      <w:pPr>
        <w:ind w:left="5540" w:hanging="111"/>
        <w:spacing w:after="0"/>
        <w:tabs>
          <w:tab w:leader="none" w:pos="5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56"/>
        <w:spacing w:after="0" w:line="261" w:lineRule="auto"/>
        <w:tabs>
          <w:tab w:leader="none" w:pos="1401"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Notice of Conversion Rate Adjustments</w:t>
      </w:r>
      <w:r>
        <w:rPr>
          <w:rFonts w:ascii="Arial" w:cs="Arial" w:eastAsia="Arial" w:hAnsi="Arial"/>
          <w:sz w:val="18"/>
          <w:szCs w:val="18"/>
          <w:color w:val="auto"/>
        </w:rPr>
        <w:t>. Upon the effectiveness of any adjustment to the Conversion Rate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5.06.</w:t>
        <w:tab/>
        <w:t>V</w:t>
      </w:r>
      <w:r>
        <w:rPr>
          <w:rFonts w:ascii="Arial" w:cs="Arial" w:eastAsia="Arial" w:hAnsi="Arial"/>
          <w:sz w:val="12"/>
          <w:szCs w:val="12"/>
          <w:b w:val="1"/>
          <w:bCs w:val="1"/>
          <w:color w:val="auto"/>
        </w:rPr>
        <w:t>OLUNTARY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5" w:lineRule="auto"/>
        <w:tabs>
          <w:tab w:leader="none" w:pos="1347"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To the extent permitted by law and applicable stock exchange rules, the Company, from time to time, may (but is not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72" w:lineRule="exact"/>
        <w:rPr>
          <w:rFonts w:ascii="Arial" w:cs="Arial" w:eastAsia="Arial" w:hAnsi="Arial"/>
          <w:sz w:val="17"/>
          <w:szCs w:val="17"/>
          <w:color w:val="auto"/>
        </w:rPr>
      </w:pPr>
    </w:p>
    <w:p>
      <w:pPr>
        <w:jc w:val="both"/>
        <w:ind w:firstLine="656"/>
        <w:spacing w:after="0" w:line="266" w:lineRule="auto"/>
        <w:tabs>
          <w:tab w:leader="none" w:pos="142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Notice of Voluntary Increases</w:t>
      </w:r>
      <w:r>
        <w:rPr>
          <w:rFonts w:ascii="Arial" w:cs="Arial" w:eastAsia="Arial" w:hAnsi="Arial"/>
          <w:sz w:val="18"/>
          <w:szCs w:val="18"/>
          <w:color w:val="auto"/>
        </w:rPr>
        <w:t>. If the Board of Directors determines to increase the Conversion Rate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5.06</w:t>
      </w:r>
      <w:r>
        <w:rPr>
          <w:rFonts w:ascii="Arial" w:cs="Arial" w:eastAsia="Arial" w:hAnsi="Arial"/>
          <w:sz w:val="18"/>
          <w:szCs w:val="18"/>
          <w:color w:val="auto"/>
        </w:rPr>
        <w:t>, then,</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fifteen (15) Business Days before such increase, the Company will send notice to each Holder of such increase, the amount thereof and the period during which such increase will be in effect.</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5.07.</w:t>
        <w:tab/>
        <w:t>A</w:t>
      </w:r>
      <w:r>
        <w:rPr>
          <w:rFonts w:ascii="Arial" w:cs="Arial" w:eastAsia="Arial" w:hAnsi="Arial"/>
          <w:sz w:val="12"/>
          <w:szCs w:val="12"/>
          <w:b w:val="1"/>
          <w:bCs w:val="1"/>
          <w:color w:val="auto"/>
        </w:rPr>
        <w:t>DJUSTMENTS 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ATE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ONNECTION WITH A</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AKE</w:t>
      </w:r>
      <w:r>
        <w:rPr>
          <w:rFonts w:ascii="Arial" w:cs="Arial" w:eastAsia="Arial" w:hAnsi="Arial"/>
          <w:sz w:val="18"/>
          <w:szCs w:val="18"/>
          <w:b w:val="1"/>
          <w:bCs w:val="1"/>
          <w:color w:val="auto"/>
        </w:rPr>
        <w:t>-W</w:t>
      </w:r>
      <w:r>
        <w:rPr>
          <w:rFonts w:ascii="Arial" w:cs="Arial" w:eastAsia="Arial" w:hAnsi="Arial"/>
          <w:sz w:val="12"/>
          <w:szCs w:val="12"/>
          <w:b w:val="1"/>
          <w:bCs w:val="1"/>
          <w:color w:val="auto"/>
        </w:rPr>
        <w:t>HOLE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01" w:lineRule="auto"/>
        <w:tabs>
          <w:tab w:leader="none" w:pos="1347"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a Make-Whole Fundamental Change occurs and the Conversion Date for the conversion of a Note occurs during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Make-Whole Fundamental Change Conversion Period, then, subject to this </w:t>
      </w:r>
      <w:r>
        <w:rPr>
          <w:rFonts w:ascii="Arial" w:cs="Arial" w:eastAsia="Arial" w:hAnsi="Arial"/>
          <w:sz w:val="16"/>
          <w:szCs w:val="16"/>
          <w:b w:val="1"/>
          <w:bCs w:val="1"/>
          <w:color w:val="auto"/>
        </w:rPr>
        <w:t>Section 5.07</w:t>
      </w:r>
      <w:r>
        <w:rPr>
          <w:rFonts w:ascii="Arial" w:cs="Arial" w:eastAsia="Arial" w:hAnsi="Arial"/>
          <w:sz w:val="16"/>
          <w:szCs w:val="16"/>
          <w:color w:val="auto"/>
        </w:rPr>
        <w:t>, the Conversion Rate applicable to such conversion will be increased by a number of shares (the “</w:t>
      </w:r>
      <w:r>
        <w:rPr>
          <w:rFonts w:ascii="Arial" w:cs="Arial" w:eastAsia="Arial" w:hAnsi="Arial"/>
          <w:sz w:val="16"/>
          <w:szCs w:val="16"/>
          <w:b w:val="1"/>
          <w:bCs w:val="1"/>
          <w:color w:val="auto"/>
        </w:rPr>
        <w:t>Additional Shares</w:t>
      </w:r>
      <w:r>
        <w:rPr>
          <w:rFonts w:ascii="Arial" w:cs="Arial" w:eastAsia="Arial" w:hAnsi="Arial"/>
          <w:sz w:val="16"/>
          <w:szCs w:val="16"/>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6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17145</wp:posOffset>
            </wp:positionV>
            <wp:extent cx="4980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such Make-Whole Fundamental Change Effective Date or Stock Price is not set forth in the table above, then:</w:t>
      </w:r>
    </w:p>
    <w:p>
      <w:pPr>
        <w:spacing w:after="0" w:line="225" w:lineRule="exact"/>
        <w:rPr>
          <w:sz w:val="20"/>
          <w:szCs w:val="20"/>
          <w:color w:val="auto"/>
        </w:rPr>
      </w:pPr>
    </w:p>
    <w:p>
      <w:pPr>
        <w:jc w:val="both"/>
        <w:ind w:left="660" w:firstLine="644"/>
        <w:spacing w:after="0" w:line="259" w:lineRule="auto"/>
        <w:tabs>
          <w:tab w:leader="none" w:pos="21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such Stock Price is between two Stock Prices in the table above or the Make-Whole Fundamental Change Effective Date is between two dates in the table above, then the number of Additional Shares will be determined by a straight-line interpolation between the numbers of Additional Shares set forth for the higher and lower Stock Prices in the table and the earlier and later dates in the table above, as applicable, based on a 365- or 366-day year, as applicable; and</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40" w:hanging="111"/>
        <w:spacing w:after="0"/>
        <w:tabs>
          <w:tab w:leader="none" w:pos="5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left="660" w:firstLine="644"/>
        <w:spacing w:after="0" w:line="263" w:lineRule="auto"/>
        <w:tabs>
          <w:tab w:leader="none" w:pos="20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if the Stock Price is greater than $500.00 (subject to adjustment in the same manner as the Stock Prices set forth in the column headings of the table above are adjusted pursuant to </w:t>
      </w:r>
      <w:r>
        <w:rPr>
          <w:rFonts w:ascii="Arial" w:cs="Arial" w:eastAsia="Arial" w:hAnsi="Arial"/>
          <w:sz w:val="18"/>
          <w:szCs w:val="18"/>
          <w:b w:val="1"/>
          <w:bCs w:val="1"/>
          <w:color w:val="auto"/>
        </w:rPr>
        <w:t>Section 5.07(B)</w:t>
      </w:r>
      <w:r>
        <w:rPr>
          <w:rFonts w:ascii="Arial" w:cs="Arial" w:eastAsia="Arial" w:hAnsi="Arial"/>
          <w:sz w:val="18"/>
          <w:szCs w:val="18"/>
          <w:color w:val="auto"/>
        </w:rPr>
        <w:t>), or less than $150.51 (subject to adjustment in the same manner), per share, then no Additional Shares will be added to the Conversion Rate.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Notwithstanding anything to the contrary in this Indenture or the Notes, in no event will the Conversion Rate be increased to an amount that exceeds 6.6440 shares of Common Stock per $1,000 principal amount of Notes, which amount is subject to adjustment in the same manner as, and at the same time and for the same events for which, the Conversion Rate is required to be adjusted pursuant to </w:t>
      </w:r>
      <w:r>
        <w:rPr>
          <w:rFonts w:ascii="Arial" w:cs="Arial" w:eastAsia="Arial" w:hAnsi="Arial"/>
          <w:sz w:val="17"/>
          <w:szCs w:val="17"/>
          <w:b w:val="1"/>
          <w:bCs w:val="1"/>
          <w:color w:val="auto"/>
        </w:rPr>
        <w:t>Section 5.05(A)</w:t>
      </w:r>
      <w:r>
        <w:rPr>
          <w:rFonts w:ascii="Arial" w:cs="Arial" w:eastAsia="Arial" w:hAnsi="Arial"/>
          <w:sz w:val="17"/>
          <w:szCs w:val="17"/>
          <w:color w:val="auto"/>
        </w:rPr>
        <w:t>.</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For the avoidance of doubt, but subject to </w:t>
      </w:r>
      <w:r>
        <w:rPr>
          <w:rFonts w:ascii="Arial" w:cs="Arial" w:eastAsia="Arial" w:hAnsi="Arial"/>
          <w:sz w:val="18"/>
          <w:szCs w:val="18"/>
          <w:b w:val="1"/>
          <w:bCs w:val="1"/>
          <w:color w:val="auto"/>
        </w:rPr>
        <w:t>Section 4.03(I)</w:t>
      </w:r>
      <w:r>
        <w:rPr>
          <w:rFonts w:ascii="Arial" w:cs="Arial" w:eastAsia="Arial" w:hAnsi="Arial"/>
          <w:sz w:val="18"/>
          <w:szCs w:val="18"/>
          <w:color w:val="auto"/>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on account of such Redemption Notice.</w:t>
      </w:r>
    </w:p>
    <w:p>
      <w:pPr>
        <w:spacing w:after="0" w:line="184" w:lineRule="exact"/>
        <w:rPr>
          <w:sz w:val="20"/>
          <w:szCs w:val="20"/>
          <w:color w:val="auto"/>
        </w:rPr>
      </w:pPr>
    </w:p>
    <w:p>
      <w:pPr>
        <w:jc w:val="both"/>
        <w:ind w:firstLine="656"/>
        <w:spacing w:after="0" w:line="279" w:lineRule="auto"/>
        <w:tabs>
          <w:tab w:leader="none" w:pos="1509"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Adjustment of Stock Prices and Additional Shares</w:t>
      </w:r>
      <w:r>
        <w:rPr>
          <w:rFonts w:ascii="Arial" w:cs="Arial" w:eastAsia="Arial" w:hAnsi="Arial"/>
          <w:sz w:val="17"/>
          <w:szCs w:val="17"/>
          <w:color w:val="auto"/>
        </w:rPr>
        <w:t>. The Stock Prices in the first row (</w:t>
      </w:r>
      <w:r>
        <w:rPr>
          <w:rFonts w:ascii="Arial" w:cs="Arial" w:eastAsia="Arial" w:hAnsi="Arial"/>
          <w:sz w:val="17"/>
          <w:szCs w:val="17"/>
          <w:i w:val="1"/>
          <w:iCs w:val="1"/>
          <w:color w:val="auto"/>
        </w:rPr>
        <w:t>i.e.</w:t>
      </w:r>
      <w:r>
        <w:rPr>
          <w:rFonts w:ascii="Arial" w:cs="Arial" w:eastAsia="Arial" w:hAnsi="Arial"/>
          <w:sz w:val="17"/>
          <w:szCs w:val="17"/>
          <w:color w:val="auto"/>
        </w:rPr>
        <w:t>, the column headers) of the table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 xml:space="preserve">Section 5.07(A) </w:t>
      </w:r>
      <w:r>
        <w:rPr>
          <w:rFonts w:ascii="Arial" w:cs="Arial" w:eastAsia="Arial" w:hAnsi="Arial"/>
          <w:sz w:val="17"/>
          <w:szCs w:val="17"/>
          <w:color w:val="auto"/>
        </w:rPr>
        <w:t>will be adjusted in the same manner as, and at the same time and for the same events for which, the Conversion Price is adjusted as a result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operation of </w:t>
      </w:r>
      <w:r>
        <w:rPr>
          <w:rFonts w:ascii="Arial" w:cs="Arial" w:eastAsia="Arial" w:hAnsi="Arial"/>
          <w:sz w:val="17"/>
          <w:szCs w:val="17"/>
          <w:b w:val="1"/>
          <w:bCs w:val="1"/>
          <w:color w:val="auto"/>
        </w:rPr>
        <w:t>Section 5.05(A)</w:t>
      </w:r>
      <w:r>
        <w:rPr>
          <w:rFonts w:ascii="Arial" w:cs="Arial" w:eastAsia="Arial" w:hAnsi="Arial"/>
          <w:sz w:val="17"/>
          <w:szCs w:val="17"/>
          <w:color w:val="auto"/>
        </w:rPr>
        <w:t xml:space="preserve">. The numbers of Additional Shares in the table set forth in </w:t>
      </w:r>
      <w:r>
        <w:rPr>
          <w:rFonts w:ascii="Arial" w:cs="Arial" w:eastAsia="Arial" w:hAnsi="Arial"/>
          <w:sz w:val="17"/>
          <w:szCs w:val="17"/>
          <w:b w:val="1"/>
          <w:bCs w:val="1"/>
          <w:color w:val="auto"/>
        </w:rPr>
        <w:t>Section 5.07(A)</w:t>
      </w:r>
      <w:r>
        <w:rPr>
          <w:rFonts w:ascii="Arial" w:cs="Arial" w:eastAsia="Arial" w:hAnsi="Arial"/>
          <w:sz w:val="17"/>
          <w:szCs w:val="17"/>
          <w:color w:val="auto"/>
        </w:rPr>
        <w:t xml:space="preserve"> will be adjusted in the same manner as, and at the same time and for the same events for which, the Conversion Rate is adjusted pursuant to </w:t>
      </w:r>
      <w:r>
        <w:rPr>
          <w:rFonts w:ascii="Arial" w:cs="Arial" w:eastAsia="Arial" w:hAnsi="Arial"/>
          <w:sz w:val="17"/>
          <w:szCs w:val="17"/>
          <w:b w:val="1"/>
          <w:bCs w:val="1"/>
          <w:color w:val="auto"/>
        </w:rPr>
        <w:t>Section 5.07(A)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right="20" w:firstLine="656"/>
        <w:spacing w:after="0" w:line="286" w:lineRule="auto"/>
        <w:tabs>
          <w:tab w:leader="none" w:pos="1382"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Notice of the Occurrence of a Make-Whole Fundamental Change</w:t>
      </w:r>
      <w:r>
        <w:rPr>
          <w:rFonts w:ascii="Arial" w:cs="Arial" w:eastAsia="Arial" w:hAnsi="Arial"/>
          <w:sz w:val="17"/>
          <w:szCs w:val="17"/>
          <w:color w:val="auto"/>
        </w:rPr>
        <w:t>. The Company will notify the Holders, the Trustee and the Conversion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Agent of each Make-Whole Fundamental Change (i) occurring pursuant to </w:t>
      </w:r>
      <w:r>
        <w:rPr>
          <w:rFonts w:ascii="Arial" w:cs="Arial" w:eastAsia="Arial" w:hAnsi="Arial"/>
          <w:sz w:val="17"/>
          <w:szCs w:val="17"/>
          <w:b w:val="1"/>
          <w:bCs w:val="1"/>
          <w:color w:val="auto"/>
        </w:rPr>
        <w:t>clause (A)</w:t>
      </w:r>
      <w:r>
        <w:rPr>
          <w:rFonts w:ascii="Arial" w:cs="Arial" w:eastAsia="Arial" w:hAnsi="Arial"/>
          <w:sz w:val="17"/>
          <w:szCs w:val="17"/>
          <w:color w:val="auto"/>
        </w:rPr>
        <w:t xml:space="preserve"> of the definition thereof in accordance with </w:t>
      </w:r>
      <w:r>
        <w:rPr>
          <w:rFonts w:ascii="Arial" w:cs="Arial" w:eastAsia="Arial" w:hAnsi="Arial"/>
          <w:sz w:val="17"/>
          <w:szCs w:val="17"/>
          <w:b w:val="1"/>
          <w:bCs w:val="1"/>
          <w:color w:val="auto"/>
        </w:rPr>
        <w:t>Section 5.01(C)(i)(3)(b)</w:t>
      </w:r>
      <w:r>
        <w:rPr>
          <w:rFonts w:ascii="Arial" w:cs="Arial" w:eastAsia="Arial" w:hAnsi="Arial"/>
          <w:sz w:val="17"/>
          <w:szCs w:val="17"/>
          <w:color w:val="auto"/>
        </w:rPr>
        <w:t xml:space="preserve"> and </w:t>
      </w:r>
      <w:r>
        <w:rPr>
          <w:rFonts w:ascii="Arial" w:cs="Arial" w:eastAsia="Arial" w:hAnsi="Arial"/>
          <w:sz w:val="17"/>
          <w:szCs w:val="17"/>
          <w:b w:val="1"/>
          <w:bCs w:val="1"/>
          <w:color w:val="auto"/>
          <w:highlight w:val="lightGray"/>
        </w:rPr>
        <w:t>Section 4.03</w:t>
      </w:r>
      <w:r>
        <w:rPr>
          <w:rFonts w:ascii="Arial" w:cs="Arial" w:eastAsia="Arial" w:hAnsi="Arial"/>
          <w:sz w:val="17"/>
          <w:szCs w:val="17"/>
          <w:color w:val="auto"/>
        </w:rPr>
        <w:t xml:space="preserve"> and (ii) occurring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of the definition thereof in accordance with </w:t>
      </w:r>
      <w:r>
        <w:rPr>
          <w:rFonts w:ascii="Arial" w:cs="Arial" w:eastAsia="Arial" w:hAnsi="Arial"/>
          <w:sz w:val="17"/>
          <w:szCs w:val="17"/>
          <w:b w:val="1"/>
          <w:bCs w:val="1"/>
          <w:color w:val="auto"/>
        </w:rPr>
        <w:t>Section 4.03(F)</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right="20" w:firstLine="656"/>
        <w:spacing w:after="0" w:line="263" w:lineRule="auto"/>
        <w:tabs>
          <w:tab w:leader="none" w:pos="1347"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Settlement of Cash Make-Whole Fundamental Changes</w:t>
      </w:r>
      <w:r>
        <w:rPr>
          <w:rFonts w:ascii="Arial" w:cs="Arial" w:eastAsia="Arial" w:hAnsi="Arial"/>
          <w:sz w:val="18"/>
          <w:szCs w:val="18"/>
          <w:color w:val="auto"/>
        </w:rPr>
        <w:t>. For the avoidance of doubt, if holders of Common Stock receive solely cash in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Make-Whole Fundamental Change, then, pursuant to </w:t>
      </w:r>
      <w:r>
        <w:rPr>
          <w:rFonts w:ascii="Arial" w:cs="Arial" w:eastAsia="Arial" w:hAnsi="Arial"/>
          <w:sz w:val="18"/>
          <w:szCs w:val="18"/>
          <w:b w:val="1"/>
          <w:bCs w:val="1"/>
          <w:color w:val="auto"/>
        </w:rPr>
        <w:t>Section 5.09</w:t>
      </w:r>
      <w:r>
        <w:rPr>
          <w:rFonts w:ascii="Arial" w:cs="Arial" w:eastAsia="Arial" w:hAnsi="Arial"/>
          <w:sz w:val="18"/>
          <w:szCs w:val="18"/>
          <w:color w:val="auto"/>
        </w:rPr>
        <w:t>, conversions of Notes will thereafter be settled no later than the second (2nd) Business Day after the relevant Conversion Date.</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5.08.</w:t>
        <w:tab/>
        <w:t>E</w:t>
      </w:r>
      <w:r>
        <w:rPr>
          <w:rFonts w:ascii="Arial" w:cs="Arial" w:eastAsia="Arial" w:hAnsi="Arial"/>
          <w:sz w:val="12"/>
          <w:szCs w:val="12"/>
          <w:b w:val="1"/>
          <w:bCs w:val="1"/>
          <w:color w:val="auto"/>
        </w:rPr>
        <w:t>XCHANGE IN</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IEU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and subject to the terms of this </w:t>
      </w:r>
      <w:r>
        <w:rPr>
          <w:rFonts w:ascii="Arial" w:cs="Arial" w:eastAsia="Arial" w:hAnsi="Arial"/>
          <w:sz w:val="17"/>
          <w:szCs w:val="17"/>
          <w:b w:val="1"/>
          <w:bCs w:val="1"/>
          <w:color w:val="auto"/>
        </w:rPr>
        <w:t>Section 5.08</w:t>
      </w:r>
      <w:r>
        <w:rPr>
          <w:rFonts w:ascii="Arial" w:cs="Arial" w:eastAsia="Arial" w:hAnsi="Arial"/>
          <w:sz w:val="17"/>
          <w:szCs w:val="17"/>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56"/>
        <w:spacing w:after="0" w:line="259" w:lineRule="auto"/>
        <w:tabs>
          <w:tab w:leader="none" w:pos="13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Arial" w:cs="Arial" w:eastAsia="Arial" w:hAnsi="Arial"/>
          <w:sz w:val="18"/>
          <w:szCs w:val="18"/>
          <w:b w:val="1"/>
          <w:bCs w:val="1"/>
          <w:color w:val="auto"/>
        </w:rPr>
        <w:t>Article 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4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186" w:lineRule="exact"/>
        <w:rPr>
          <w:rFonts w:ascii="Arial" w:cs="Arial" w:eastAsia="Arial" w:hAnsi="Arial"/>
          <w:sz w:val="18"/>
          <w:szCs w:val="18"/>
          <w:color w:val="auto"/>
        </w:rPr>
      </w:pPr>
    </w:p>
    <w:p>
      <w:pPr>
        <w:ind w:left="1340" w:hanging="684"/>
        <w:spacing w:after="0"/>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Note will not cease to be outstanding by reason of such exchange in lieu of conversion;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financial institution does not accept such Note or fails to timely deliver such Conversion Consideration, then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be responsible for delivering such Conversion Consideration in the manner and at the time provided in this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as if the Company had not elected to make an exchange in lieu of conversion.</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5.09.</w:t>
        <w:tab/>
        <w:t>E</w:t>
      </w:r>
      <w:r>
        <w:rPr>
          <w:rFonts w:ascii="Arial" w:cs="Arial" w:eastAsia="Arial" w:hAnsi="Arial"/>
          <w:sz w:val="12"/>
          <w:szCs w:val="12"/>
          <w:b w:val="1"/>
          <w:bCs w:val="1"/>
          <w:color w:val="auto"/>
        </w:rPr>
        <w:t>FFECT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w:t>
      </w:r>
      <w:r>
        <w:rPr>
          <w:rFonts w:ascii="Arial" w:cs="Arial" w:eastAsia="Arial" w:hAnsi="Arial"/>
          <w:sz w:val="18"/>
          <w:szCs w:val="18"/>
          <w:b w:val="1"/>
          <w:bCs w:val="1"/>
          <w:color w:val="auto"/>
        </w:rPr>
        <w:t>.</w:t>
      </w:r>
    </w:p>
    <w:p>
      <w:pPr>
        <w:spacing w:after="0" w:line="229" w:lineRule="exact"/>
        <w:rPr>
          <w:sz w:val="20"/>
          <w:szCs w:val="20"/>
          <w:color w:val="auto"/>
        </w:rPr>
      </w:pPr>
    </w:p>
    <w:p>
      <w:pPr>
        <w:ind w:left="1360" w:hanging="704"/>
        <w:spacing w:after="0"/>
        <w:tabs>
          <w:tab w:leader="none" w:pos="13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If there occurs any: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consolidation, merger, combination or binding or statutory share exchange involving the Company;</w:t>
      </w:r>
    </w:p>
    <w:p>
      <w:pPr>
        <w:spacing w:after="0" w:line="225" w:lineRule="exact"/>
        <w:rPr>
          <w:rFonts w:ascii="Arial" w:cs="Arial" w:eastAsia="Arial" w:hAnsi="Arial"/>
          <w:sz w:val="18"/>
          <w:szCs w:val="18"/>
          <w:color w:val="auto"/>
        </w:rPr>
      </w:pPr>
    </w:p>
    <w:p>
      <w:pPr>
        <w:ind w:left="2080" w:hanging="776"/>
        <w:spacing w:after="0"/>
        <w:tabs>
          <w:tab w:leader="none" w:pos="20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sale, lease or other transfer of all or substantially all of the assets of the Company and its Subsidiaries, taken as a whole, to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 or</w:t>
      </w:r>
    </w:p>
    <w:p>
      <w:pPr>
        <w:spacing w:after="0" w:line="210" w:lineRule="exact"/>
        <w:rPr>
          <w:rFonts w:ascii="Arial" w:cs="Arial" w:eastAsia="Arial" w:hAnsi="Arial"/>
          <w:sz w:val="16"/>
          <w:szCs w:val="16"/>
          <w:color w:val="auto"/>
        </w:rPr>
      </w:pPr>
    </w:p>
    <w:p>
      <w:pPr>
        <w:ind w:left="2020" w:hanging="716"/>
        <w:spacing w:after="0"/>
        <w:tabs>
          <w:tab w:leader="none" w:pos="2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other similar event,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as a result of which, the Common Stock is converted into, or is exchanged for, or represents solely the right to receive, other securities, cash or other property, or any combination of the foregoing (such an event, a “</w:t>
      </w:r>
      <w:r>
        <w:rPr>
          <w:rFonts w:ascii="Arial" w:cs="Arial" w:eastAsia="Arial" w:hAnsi="Arial"/>
          <w:sz w:val="17"/>
          <w:szCs w:val="17"/>
          <w:b w:val="1"/>
          <w:bCs w:val="1"/>
          <w:color w:val="auto"/>
        </w:rPr>
        <w:t>Common Stock Change Event</w:t>
      </w:r>
      <w:r>
        <w:rPr>
          <w:rFonts w:ascii="Arial" w:cs="Arial" w:eastAsia="Arial" w:hAnsi="Arial"/>
          <w:sz w:val="17"/>
          <w:szCs w:val="17"/>
          <w:color w:val="auto"/>
        </w:rPr>
        <w:t>,” and such other securities, cash or property, the “</w:t>
      </w:r>
      <w:r>
        <w:rPr>
          <w:rFonts w:ascii="Arial" w:cs="Arial" w:eastAsia="Arial" w:hAnsi="Arial"/>
          <w:sz w:val="17"/>
          <w:szCs w:val="17"/>
          <w:b w:val="1"/>
          <w:bCs w:val="1"/>
          <w:color w:val="auto"/>
        </w:rPr>
        <w:t>Reference Property</w:t>
      </w:r>
      <w:r>
        <w:rPr>
          <w:rFonts w:ascii="Arial" w:cs="Arial" w:eastAsia="Arial" w:hAnsi="Arial"/>
          <w:sz w:val="17"/>
          <w:szCs w:val="17"/>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Arial" w:cs="Arial" w:eastAsia="Arial" w:hAnsi="Arial"/>
          <w:sz w:val="17"/>
          <w:szCs w:val="17"/>
          <w:b w:val="1"/>
          <w:bCs w:val="1"/>
          <w:color w:val="auto"/>
        </w:rPr>
        <w:t>Reference Property Unit</w:t>
      </w:r>
      <w:r>
        <w:rPr>
          <w:rFonts w:ascii="Arial" w:cs="Arial" w:eastAsia="Arial" w:hAnsi="Arial"/>
          <w:sz w:val="17"/>
          <w:szCs w:val="17"/>
          <w:color w:val="auto"/>
        </w:rPr>
        <w:t>”), then, notwithstanding anything to the contrary in this Indenture or the Notes,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660" w:firstLine="644"/>
        <w:spacing w:after="0" w:line="291" w:lineRule="auto"/>
        <w:tabs>
          <w:tab w:leader="none" w:pos="1851"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in any related definitions) were instead a reference to the same number of Reference Property Units; (ii) for purposes of </w:t>
      </w:r>
      <w:r>
        <w:rPr>
          <w:rFonts w:ascii="Arial" w:cs="Arial" w:eastAsia="Arial" w:hAnsi="Arial"/>
          <w:sz w:val="16"/>
          <w:szCs w:val="16"/>
          <w:b w:val="1"/>
          <w:bCs w:val="1"/>
          <w:color w:val="auto"/>
        </w:rPr>
        <w:t>Section 4.03</w:t>
      </w:r>
      <w:r>
        <w:rPr>
          <w:rFonts w:ascii="Arial" w:cs="Arial" w:eastAsia="Arial" w:hAnsi="Arial"/>
          <w:sz w:val="16"/>
          <w:szCs w:val="16"/>
          <w:color w:val="auto"/>
        </w:rPr>
        <w:t>, each reference to any number of shares of Common Stock in such Section (or in any related definitions) will instead be deemed to be a reference to the same number of Reference Property Units; and (iii) for purposes of the definition of “Fundamental Change” and “Make-Whole Fundamental Change,” the terms “Common Stock” and “common equity” will be deemed to mean the common equity (including depositary receipts representing common equity), if any, forming part of such Reference Property;</w:t>
      </w:r>
    </w:p>
    <w:p>
      <w:pPr>
        <w:spacing w:after="0" w:line="166" w:lineRule="exact"/>
        <w:rPr>
          <w:rFonts w:ascii="Arial" w:cs="Arial" w:eastAsia="Arial" w:hAnsi="Arial"/>
          <w:sz w:val="16"/>
          <w:szCs w:val="16"/>
          <w:color w:val="auto"/>
        </w:rPr>
      </w:pPr>
    </w:p>
    <w:p>
      <w:pPr>
        <w:jc w:val="both"/>
        <w:ind w:left="660" w:firstLine="644"/>
        <w:spacing w:after="0" w:line="255" w:lineRule="auto"/>
        <w:tabs>
          <w:tab w:leader="none" w:pos="18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the provisions described above in </w:t>
      </w:r>
      <w:r>
        <w:rPr>
          <w:rFonts w:ascii="Arial" w:cs="Arial" w:eastAsia="Arial" w:hAnsi="Arial"/>
          <w:sz w:val="18"/>
          <w:szCs w:val="18"/>
          <w:b w:val="1"/>
          <w:bCs w:val="1"/>
          <w:color w:val="auto"/>
          <w:highlight w:val="lightGray"/>
        </w:rPr>
        <w:t>Section 5.07</w:t>
      </w:r>
      <w:r>
        <w:rPr>
          <w:rFonts w:ascii="Arial" w:cs="Arial" w:eastAsia="Arial" w:hAnsi="Arial"/>
          <w:sz w:val="18"/>
          <w:szCs w:val="18"/>
          <w:color w:val="auto"/>
        </w:rPr>
        <w:t xml:space="preserve"> if applicable); and (y) the amount of cash constituting such Reference Property Unit; and (ii) the Company will settle each such conversion no later than the second (2nd) Business Day after the relevant Conversion Date; and</w:t>
      </w:r>
    </w:p>
    <w:p>
      <w:pPr>
        <w:spacing w:after="0" w:line="192" w:lineRule="exact"/>
        <w:rPr>
          <w:rFonts w:ascii="Arial" w:cs="Arial" w:eastAsia="Arial" w:hAnsi="Arial"/>
          <w:sz w:val="18"/>
          <w:szCs w:val="18"/>
          <w:color w:val="auto"/>
        </w:rPr>
      </w:pPr>
    </w:p>
    <w:p>
      <w:pPr>
        <w:jc w:val="both"/>
        <w:ind w:left="660" w:firstLine="644"/>
        <w:spacing w:after="0" w:line="273" w:lineRule="auto"/>
        <w:tabs>
          <w:tab w:leader="none" w:pos="1941"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of such weighted average as soon as practicable after such determination is made.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or before the effective time of such Common Stock Change Event, the Company and the resulting, surviving or transferee Person (if not the Company) of such Common Stock Change Event (the “</w:t>
      </w:r>
      <w:r>
        <w:rPr>
          <w:rFonts w:ascii="Arial" w:cs="Arial" w:eastAsia="Arial" w:hAnsi="Arial"/>
          <w:sz w:val="16"/>
          <w:szCs w:val="16"/>
          <w:b w:val="1"/>
          <w:bCs w:val="1"/>
          <w:color w:val="auto"/>
        </w:rPr>
        <w:t>Successor Person</w:t>
      </w:r>
      <w:r>
        <w:rPr>
          <w:rFonts w:ascii="Arial" w:cs="Arial" w:eastAsia="Arial" w:hAnsi="Arial"/>
          <w:sz w:val="16"/>
          <w:szCs w:val="16"/>
          <w:color w:val="auto"/>
        </w:rPr>
        <w:t xml:space="preserve">”) will execute and deliver to the Trustee a supplemental indenture pursuant to </w:t>
      </w:r>
      <w:r>
        <w:rPr>
          <w:rFonts w:ascii="Arial" w:cs="Arial" w:eastAsia="Arial" w:hAnsi="Arial"/>
          <w:sz w:val="16"/>
          <w:szCs w:val="16"/>
          <w:b w:val="1"/>
          <w:bCs w:val="1"/>
          <w:color w:val="auto"/>
        </w:rPr>
        <w:t>Section 8.01(F)</w:t>
      </w:r>
      <w:r>
        <w:rPr>
          <w:rFonts w:ascii="Arial" w:cs="Arial" w:eastAsia="Arial" w:hAnsi="Arial"/>
          <w:sz w:val="16"/>
          <w:szCs w:val="16"/>
          <w:color w:val="auto"/>
        </w:rPr>
        <w:t>, which supplemental indenture will (x) provide for subsequent conversions of Notes in the manner set forth in this</w:t>
      </w:r>
      <w:r>
        <w:rPr>
          <w:rFonts w:ascii="Arial" w:cs="Arial" w:eastAsia="Arial" w:hAnsi="Arial"/>
          <w:sz w:val="16"/>
          <w:szCs w:val="16"/>
          <w:b w:val="1"/>
          <w:bCs w:val="1"/>
          <w:color w:val="auto"/>
        </w:rPr>
        <w:t xml:space="preserve"> Section 5.09</w:t>
      </w:r>
      <w:r>
        <w:rPr>
          <w:rFonts w:ascii="Arial" w:cs="Arial" w:eastAsia="Arial" w:hAnsi="Arial"/>
          <w:sz w:val="16"/>
          <w:szCs w:val="16"/>
          <w:color w:val="auto"/>
        </w:rPr>
        <w:t>; (y)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for subsequent adjustments to the Conversion Rate pursuant to </w:t>
      </w:r>
      <w:r>
        <w:rPr>
          <w:rFonts w:ascii="Arial" w:cs="Arial" w:eastAsia="Arial" w:hAnsi="Arial"/>
          <w:sz w:val="16"/>
          <w:szCs w:val="16"/>
          <w:b w:val="1"/>
          <w:bCs w:val="1"/>
          <w:color w:val="auto"/>
        </w:rPr>
        <w:t>Section 5.07(A)</w:t>
      </w:r>
      <w:r>
        <w:rPr>
          <w:rFonts w:ascii="Arial" w:cs="Arial" w:eastAsia="Arial" w:hAnsi="Arial"/>
          <w:sz w:val="16"/>
          <w:szCs w:val="16"/>
          <w:color w:val="auto"/>
        </w:rPr>
        <w:t xml:space="preserve"> in a manner consistent with this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and (z) contain such other provisions as the Company determines in good faith and in a commercially reasonable manner are appropriate to preserve the economic interests of the Holders and to give effect to the provisions of this </w:t>
      </w:r>
      <w:r>
        <w:rPr>
          <w:rFonts w:ascii="Arial" w:cs="Arial" w:eastAsia="Arial" w:hAnsi="Arial"/>
          <w:sz w:val="16"/>
          <w:szCs w:val="16"/>
          <w:b w:val="1"/>
          <w:bCs w:val="1"/>
          <w:color w:val="auto"/>
        </w:rPr>
        <w:t>Section 5.09(A)</w:t>
      </w:r>
      <w:r>
        <w:rPr>
          <w:rFonts w:ascii="Arial" w:cs="Arial" w:eastAsia="Arial" w:hAnsi="Arial"/>
          <w:sz w:val="16"/>
          <w:szCs w:val="16"/>
          <w:color w:val="auto"/>
        </w:rPr>
        <w:t>. If the Reference Property includes shares of stock or other securities or assets of a Person other than the Successor Person, then such other Person will also execute such supplemental indenture and such supplemental indenture will contain such additional provisions the Company reasonably determines are appropriate to preserve the economic interests of the 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firstLine="656"/>
        <w:spacing w:after="0" w:line="277" w:lineRule="auto"/>
        <w:tabs>
          <w:tab w:leader="none" w:pos="1554"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Notice of Common Stock Change Events</w:t>
      </w:r>
      <w:r>
        <w:rPr>
          <w:rFonts w:ascii="Arial" w:cs="Arial" w:eastAsia="Arial" w:hAnsi="Arial"/>
          <w:sz w:val="18"/>
          <w:szCs w:val="18"/>
          <w:color w:val="auto"/>
        </w:rPr>
        <w:t>. The Company will provide notice of each Common Stock Change Event in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Section 5.01(C)(i)(3)(b).</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Compliance Covenant</w:t>
      </w:r>
      <w:r>
        <w:rPr>
          <w:rFonts w:ascii="Arial" w:cs="Arial" w:eastAsia="Arial" w:hAnsi="Arial"/>
          <w:sz w:val="16"/>
          <w:szCs w:val="16"/>
          <w:color w:val="auto"/>
        </w:rPr>
        <w:t>. The Company will not become a party to any Common Stock Change Event unless its terms are consistent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Section 5.09</w:t>
      </w:r>
      <w:r>
        <w:rPr>
          <w:rFonts w:ascii="Arial" w:cs="Arial" w:eastAsia="Arial" w:hAnsi="Arial"/>
          <w:sz w:val="18"/>
          <w:szCs w:val="18"/>
          <w:color w:val="auto"/>
        </w:rPr>
        <w:t>.</w:t>
      </w:r>
    </w:p>
    <w:p>
      <w:pPr>
        <w:spacing w:after="0" w:line="207" w:lineRule="exact"/>
        <w:rPr>
          <w:sz w:val="20"/>
          <w:szCs w:val="20"/>
          <w:color w:val="auto"/>
        </w:rPr>
      </w:pPr>
    </w:p>
    <w:p>
      <w:pPr>
        <w:ind w:left="4480"/>
        <w:spacing w:after="0"/>
        <w:tabs>
          <w:tab w:leader="none" w:pos="558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SUCCESSORS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6.01.</w:t>
        <w:tab/>
        <w:t>W</w:t>
      </w:r>
      <w:r>
        <w:rPr>
          <w:rFonts w:ascii="Arial" w:cs="Arial" w:eastAsia="Arial" w:hAnsi="Arial"/>
          <w:sz w:val="12"/>
          <w:szCs w:val="12"/>
          <w:b w:val="1"/>
          <w:bCs w:val="1"/>
          <w:color w:val="auto"/>
        </w:rPr>
        <w:t>HEN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48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not consolidate with or merge with or into, or sell, lease or otherwise transfer, in one transaction or a</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transactions, all or substantially all of the assets of the Company and its Subsidiaries, taken as a whole, to another Person (a “</w:t>
      </w:r>
      <w:r>
        <w:rPr>
          <w:rFonts w:ascii="Arial" w:cs="Arial" w:eastAsia="Arial" w:hAnsi="Arial"/>
          <w:sz w:val="18"/>
          <w:szCs w:val="18"/>
          <w:b w:val="1"/>
          <w:b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Combination Event</w:t>
      </w:r>
      <w:r>
        <w:rPr>
          <w:rFonts w:ascii="Arial" w:cs="Arial" w:eastAsia="Arial" w:hAnsi="Arial"/>
          <w:sz w:val="18"/>
          <w:szCs w:val="18"/>
          <w:color w:val="auto"/>
        </w:rPr>
        <w:t>”), unless:</w:t>
      </w:r>
    </w:p>
    <w:p>
      <w:pPr>
        <w:spacing w:after="0" w:line="183" w:lineRule="exact"/>
        <w:rPr>
          <w:rFonts w:ascii="Arial" w:cs="Arial" w:eastAsia="Arial" w:hAnsi="Arial"/>
          <w:sz w:val="18"/>
          <w:szCs w:val="18"/>
          <w:color w:val="auto"/>
        </w:rPr>
      </w:pPr>
    </w:p>
    <w:p>
      <w:pPr>
        <w:jc w:val="both"/>
        <w:ind w:left="660" w:firstLine="644"/>
        <w:spacing w:after="0" w:line="279" w:lineRule="auto"/>
        <w:tabs>
          <w:tab w:leader="none" w:pos="235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resulting, surviving or transferee Person either (x) is the Company or (y) if not the Company, is a corporation (the “</w:t>
      </w:r>
      <w:r>
        <w:rPr>
          <w:rFonts w:ascii="Arial" w:cs="Arial" w:eastAsia="Arial" w:hAnsi="Arial"/>
          <w:sz w:val="17"/>
          <w:szCs w:val="17"/>
          <w:b w:val="1"/>
          <w:bCs w:val="1"/>
          <w:color w:val="auto"/>
        </w:rPr>
        <w:t>Successor Corporation</w:t>
      </w:r>
      <w:r>
        <w:rPr>
          <w:rFonts w:ascii="Arial" w:cs="Arial" w:eastAsia="Arial" w:hAnsi="Arial"/>
          <w:sz w:val="17"/>
          <w:szCs w:val="17"/>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Arial" w:cs="Arial" w:eastAsia="Arial" w:hAnsi="Arial"/>
          <w:sz w:val="17"/>
          <w:szCs w:val="17"/>
          <w:b w:val="1"/>
          <w:bCs w:val="1"/>
          <w:color w:val="auto"/>
        </w:rPr>
        <w:t>Section 8.01(E)</w:t>
      </w:r>
      <w:r>
        <w:rPr>
          <w:rFonts w:ascii="Arial" w:cs="Arial" w:eastAsia="Arial" w:hAnsi="Arial"/>
          <w:sz w:val="17"/>
          <w:szCs w:val="17"/>
          <w:color w:val="auto"/>
        </w:rPr>
        <w:t>) all of the Company’s obligations under this Indenture and the Notes; and</w:t>
      </w:r>
    </w:p>
    <w:p>
      <w:pPr>
        <w:spacing w:after="0" w:line="171" w:lineRule="exact"/>
        <w:rPr>
          <w:rFonts w:ascii="Arial" w:cs="Arial" w:eastAsia="Arial" w:hAnsi="Arial"/>
          <w:sz w:val="17"/>
          <w:szCs w:val="17"/>
          <w:color w:val="auto"/>
        </w:rPr>
      </w:pPr>
    </w:p>
    <w:p>
      <w:pPr>
        <w:ind w:left="2080" w:hanging="776"/>
        <w:spacing w:after="0"/>
        <w:tabs>
          <w:tab w:leader="none" w:pos="20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immediately after giving effect to such Business Combination Event, no Default or Event of Default will have occurred and be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210" w:lineRule="exact"/>
        <w:rPr>
          <w:rFonts w:ascii="Arial" w:cs="Arial" w:eastAsia="Arial" w:hAnsi="Arial"/>
          <w:sz w:val="16"/>
          <w:szCs w:val="16"/>
          <w:color w:val="auto"/>
        </w:rPr>
      </w:pPr>
    </w:p>
    <w:p>
      <w:pPr>
        <w:jc w:val="both"/>
        <w:ind w:firstLine="656"/>
        <w:spacing w:after="0" w:line="259" w:lineRule="auto"/>
        <w:tabs>
          <w:tab w:leader="none" w:pos="145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Delivery of Officer’s Certificate and Opinion of Counsel to the Trustee</w:t>
      </w:r>
      <w:r>
        <w:rPr>
          <w:rFonts w:ascii="Arial" w:cs="Arial" w:eastAsia="Arial" w:hAnsi="Arial"/>
          <w:sz w:val="18"/>
          <w:szCs w:val="18"/>
          <w:color w:val="auto"/>
        </w:rPr>
        <w:t>. Before the effective time of any Business Combination Event,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will deliver to the Trustee an Officer’s Certificate and Opinion of Counsel, each stating that (i) such Business Combination Event (and, if applicable, the related supplemental indenture) comply with </w:t>
      </w:r>
      <w:r>
        <w:rPr>
          <w:rFonts w:ascii="Arial" w:cs="Arial" w:eastAsia="Arial" w:hAnsi="Arial"/>
          <w:sz w:val="18"/>
          <w:szCs w:val="18"/>
          <w:b w:val="1"/>
          <w:bCs w:val="1"/>
          <w:color w:val="auto"/>
        </w:rPr>
        <w:t>Section 6.01(A)</w:t>
      </w:r>
      <w:r>
        <w:rPr>
          <w:rFonts w:ascii="Arial" w:cs="Arial" w:eastAsia="Arial" w:hAnsi="Arial"/>
          <w:sz w:val="18"/>
          <w:szCs w:val="18"/>
          <w:color w:val="auto"/>
        </w:rPr>
        <w:t>; and (ii) all conditions precedent to such Business Combination Event provided in this Indenture have been satisfied.</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7"/>
          <w:szCs w:val="17"/>
          <w:b w:val="1"/>
          <w:bCs w:val="1"/>
          <w:color w:val="auto"/>
        </w:rPr>
        <w:t>S</w:t>
      </w:r>
      <w:r>
        <w:rPr>
          <w:rFonts w:ascii="Arial" w:cs="Arial" w:eastAsia="Arial" w:hAnsi="Arial"/>
          <w:sz w:val="11"/>
          <w:szCs w:val="11"/>
          <w:b w:val="1"/>
          <w:bCs w:val="1"/>
          <w:color w:val="auto"/>
        </w:rPr>
        <w:t>UCCESSOR</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UBSTITUTED</w:t>
      </w:r>
      <w:r>
        <w:rPr>
          <w:rFonts w:ascii="Arial" w:cs="Arial" w:eastAsia="Arial" w:hAnsi="Arial"/>
          <w:sz w:val="17"/>
          <w:szCs w:val="17"/>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At the effective time of any Business Combination Event that complies with </w:t>
      </w:r>
      <w:r>
        <w:rPr>
          <w:rFonts w:ascii="Arial" w:cs="Arial" w:eastAsia="Arial" w:hAnsi="Arial"/>
          <w:sz w:val="18"/>
          <w:szCs w:val="18"/>
          <w:b w:val="1"/>
          <w:bCs w:val="1"/>
          <w:color w:val="auto"/>
        </w:rPr>
        <w:t>Section 6.01</w:t>
      </w:r>
      <w:r>
        <w:rPr>
          <w:rFonts w:ascii="Arial" w:cs="Arial" w:eastAsia="Arial" w:hAnsi="Arial"/>
          <w:sz w:val="18"/>
          <w:szCs w:val="18"/>
          <w:color w:val="auto"/>
        </w:rPr>
        <w:t>, the Successor Corporation (if not the Company) will succeed to, and may exercise every right and power of, the Company under this Indenture and the Notes with the same effect as if such Successor Corporation had been named as the Company in this Indenture and the Notes, and, except in the case of a lease, the predecessor Company will be discharged from its obligations under this Indenture and the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3880"/>
        <w:spacing w:after="0"/>
        <w:tabs>
          <w:tab w:leader="none" w:pos="498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DEFAULTS AND REMEDIES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7"/>
          <w:szCs w:val="17"/>
          <w:b w:val="1"/>
          <w:bCs w:val="1"/>
          <w:color w:val="auto"/>
        </w:rPr>
        <w:t>E</w:t>
      </w:r>
      <w:r>
        <w:rPr>
          <w:rFonts w:ascii="Arial" w:cs="Arial" w:eastAsia="Arial" w:hAnsi="Arial"/>
          <w:sz w:val="11"/>
          <w:szCs w:val="11"/>
          <w:b w:val="1"/>
          <w:bCs w:val="1"/>
          <w:color w:val="auto"/>
        </w:rPr>
        <w:t>VENTS OF</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EFAULT</w:t>
      </w:r>
      <w:r>
        <w:rPr>
          <w:rFonts w:ascii="Arial" w:cs="Arial" w:eastAsia="Arial" w:hAnsi="Arial"/>
          <w:sz w:val="17"/>
          <w:szCs w:val="17"/>
          <w:b w:val="1"/>
          <w:bCs w:val="1"/>
          <w:color w:val="auto"/>
        </w:rPr>
        <w:t>.</w:t>
      </w:r>
    </w:p>
    <w:p>
      <w:pPr>
        <w:spacing w:after="0" w:line="225" w:lineRule="exact"/>
        <w:rPr>
          <w:sz w:val="20"/>
          <w:szCs w:val="20"/>
          <w:color w:val="auto"/>
        </w:rPr>
      </w:pPr>
    </w:p>
    <w:p>
      <w:pPr>
        <w:ind w:left="1500" w:hanging="844"/>
        <w:spacing w:after="0"/>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Definition of 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means the occurrence of any of the following:</w:t>
      </w:r>
    </w:p>
    <w:p>
      <w:pPr>
        <w:spacing w:after="0" w:line="229" w:lineRule="exact"/>
        <w:rPr>
          <w:rFonts w:ascii="Arial" w:cs="Arial" w:eastAsia="Arial" w:hAnsi="Arial"/>
          <w:sz w:val="18"/>
          <w:szCs w:val="18"/>
          <w:color w:val="auto"/>
        </w:rPr>
      </w:pPr>
    </w:p>
    <w:p>
      <w:pPr>
        <w:ind w:left="980" w:firstLine="540"/>
        <w:spacing w:after="0" w:line="277" w:lineRule="auto"/>
        <w:tabs>
          <w:tab w:leader="none" w:pos="24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default in the payment when due (whether at maturity, upon Redemption, or Repurchase Upon Fundamental Change or otherwise) of the principal of, or the Redemption Price or the Fundamental Change Repurchase Price for, any Note;</w:t>
      </w:r>
    </w:p>
    <w:p>
      <w:pPr>
        <w:spacing w:after="0" w:line="170" w:lineRule="exact"/>
        <w:rPr>
          <w:rFonts w:ascii="Arial" w:cs="Arial" w:eastAsia="Arial" w:hAnsi="Arial"/>
          <w:sz w:val="18"/>
          <w:szCs w:val="18"/>
          <w:color w:val="auto"/>
        </w:rPr>
      </w:pPr>
    </w:p>
    <w:p>
      <w:pPr>
        <w:ind w:left="2420" w:hanging="900"/>
        <w:spacing w:after="0"/>
        <w:tabs>
          <w:tab w:leader="none" w:pos="24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default for thirty (30) days in the payment when due of interest on any Note;</w:t>
      </w:r>
    </w:p>
    <w:p>
      <w:pPr>
        <w:spacing w:after="0" w:line="225" w:lineRule="exact"/>
        <w:rPr>
          <w:rFonts w:ascii="Arial" w:cs="Arial" w:eastAsia="Arial" w:hAnsi="Arial"/>
          <w:sz w:val="18"/>
          <w:szCs w:val="18"/>
          <w:color w:val="auto"/>
        </w:rPr>
      </w:pPr>
    </w:p>
    <w:p>
      <w:pPr>
        <w:jc w:val="both"/>
        <w:ind w:left="980" w:firstLine="540"/>
        <w:spacing w:after="0" w:line="259" w:lineRule="auto"/>
        <w:tabs>
          <w:tab w:leader="none" w:pos="2469"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the Company’s failure to deliver when required by this Indenture, without curing such failure after its occurrence within one (1) Business Day with respect to the following clause (x) and three (3) Business Days with respect to the following clause (y) (other than a notice pursuant to the provisions described above under </w:t>
      </w:r>
      <w:r>
        <w:rPr>
          <w:rFonts w:ascii="Arial" w:cs="Arial" w:eastAsia="Arial" w:hAnsi="Arial"/>
          <w:sz w:val="18"/>
          <w:szCs w:val="18"/>
          <w:b w:val="1"/>
          <w:bCs w:val="1"/>
          <w:color w:val="auto"/>
        </w:rPr>
        <w:t>Section 5.01(C)(i)(3)(a)</w:t>
      </w:r>
      <w:r>
        <w:rPr>
          <w:rFonts w:ascii="Arial" w:cs="Arial" w:eastAsia="Arial" w:hAnsi="Arial"/>
          <w:sz w:val="18"/>
          <w:szCs w:val="18"/>
          <w:color w:val="auto"/>
        </w:rPr>
        <w:t xml:space="preserve">), (x) a Fundamental Change Notice or (y) a notice pursuant to </w:t>
      </w:r>
      <w:r>
        <w:rPr>
          <w:rFonts w:ascii="Arial" w:cs="Arial" w:eastAsia="Arial" w:hAnsi="Arial"/>
          <w:sz w:val="18"/>
          <w:szCs w:val="18"/>
          <w:b w:val="1"/>
          <w:bCs w:val="1"/>
          <w:color w:val="auto"/>
        </w:rPr>
        <w:t>Section 5.01(C)(i)(3)</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980" w:firstLine="540"/>
        <w:spacing w:after="0" w:line="282" w:lineRule="auto"/>
        <w:tabs>
          <w:tab w:leader="none" w:pos="2418"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 to convert a Note in accordance with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upon the exercise of the conversion right with respect thereto, if such default is not cured within three (3) Business Days after its occurrence;</w:t>
      </w:r>
    </w:p>
    <w:p>
      <w:pPr>
        <w:spacing w:after="0" w:line="161" w:lineRule="exact"/>
        <w:rPr>
          <w:rFonts w:ascii="Arial" w:cs="Arial" w:eastAsia="Arial" w:hAnsi="Arial"/>
          <w:sz w:val="18"/>
          <w:szCs w:val="18"/>
          <w:color w:val="auto"/>
        </w:rPr>
      </w:pPr>
    </w:p>
    <w:p>
      <w:pPr>
        <w:ind w:left="2360" w:hanging="840"/>
        <w:spacing w:after="0"/>
        <w:tabs>
          <w:tab w:leader="none" w:pos="23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obligations under </w:t>
      </w:r>
      <w:r>
        <w:rPr>
          <w:rFonts w:ascii="Arial" w:cs="Arial" w:eastAsia="Arial" w:hAnsi="Arial"/>
          <w:sz w:val="18"/>
          <w:szCs w:val="18"/>
          <w:b w:val="1"/>
          <w:bCs w:val="1"/>
          <w:color w:val="auto"/>
        </w:rPr>
        <w:t>Article 6</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980" w:firstLine="540"/>
        <w:spacing w:after="0" w:line="257" w:lineRule="auto"/>
        <w:tabs>
          <w:tab w:leader="none" w:pos="2499"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a default in any of the Company’s obligations or agreements under this Indenture or the Notes (other than a default set forth in </w:t>
      </w:r>
      <w:r>
        <w:rPr>
          <w:rFonts w:ascii="Arial" w:cs="Arial" w:eastAsia="Arial" w:hAnsi="Arial"/>
          <w:sz w:val="18"/>
          <w:szCs w:val="18"/>
          <w:b w:val="1"/>
          <w:bCs w:val="1"/>
          <w:color w:val="auto"/>
        </w:rPr>
        <w:t>clause (i)</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w:t>
      </w:r>
      <w:r>
        <w:rPr>
          <w:rFonts w:ascii="Arial" w:cs="Arial" w:eastAsia="Arial" w:hAnsi="Arial"/>
          <w:sz w:val="18"/>
          <w:szCs w:val="18"/>
          <w:b w:val="1"/>
          <w:bCs w:val="1"/>
          <w:color w:val="auto"/>
        </w:rPr>
        <w:t>(iii)</w:t>
      </w:r>
      <w:r>
        <w:rPr>
          <w:rFonts w:ascii="Arial" w:cs="Arial" w:eastAsia="Arial" w:hAnsi="Arial"/>
          <w:sz w:val="18"/>
          <w:szCs w:val="18"/>
          <w:color w:val="auto"/>
        </w:rPr>
        <w:t xml:space="preserve">, </w:t>
      </w:r>
      <w:r>
        <w:rPr>
          <w:rFonts w:ascii="Arial" w:cs="Arial" w:eastAsia="Arial" w:hAnsi="Arial"/>
          <w:sz w:val="18"/>
          <w:szCs w:val="18"/>
          <w:b w:val="1"/>
          <w:bCs w:val="1"/>
          <w:color w:val="auto"/>
        </w:rPr>
        <w:t>(iv)</w:t>
      </w:r>
      <w:r>
        <w:rPr>
          <w:rFonts w:ascii="Arial" w:cs="Arial" w:eastAsia="Arial" w:hAnsi="Arial"/>
          <w:sz w:val="18"/>
          <w:szCs w:val="18"/>
          <w:color w:val="auto"/>
        </w:rPr>
        <w:t xml:space="preserve"> or </w:t>
      </w:r>
      <w:r>
        <w:rPr>
          <w:rFonts w:ascii="Arial" w:cs="Arial" w:eastAsia="Arial" w:hAnsi="Arial"/>
          <w:sz w:val="18"/>
          <w:szCs w:val="18"/>
          <w:b w:val="1"/>
          <w:bCs w:val="1"/>
          <w:color w:val="auto"/>
        </w:rPr>
        <w:t>(v)</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7.01(A)</w:t>
      </w:r>
      <w:r>
        <w:rPr>
          <w:rFonts w:ascii="Arial" w:cs="Arial" w:eastAsia="Arial" w:hAnsi="Arial"/>
          <w:sz w:val="18"/>
          <w:szCs w:val="18"/>
          <w:color w:val="auto"/>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87" w:lineRule="exact"/>
        <w:rPr>
          <w:rFonts w:ascii="Arial" w:cs="Arial" w:eastAsia="Arial" w:hAnsi="Arial"/>
          <w:sz w:val="18"/>
          <w:szCs w:val="18"/>
          <w:color w:val="auto"/>
        </w:rPr>
      </w:pPr>
    </w:p>
    <w:p>
      <w:pPr>
        <w:jc w:val="both"/>
        <w:ind w:left="980" w:firstLine="540"/>
        <w:spacing w:after="0" w:line="259" w:lineRule="auto"/>
        <w:tabs>
          <w:tab w:leader="none" w:pos="257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default by the Company or any of its Subsidiaries with respect to any one or more mortgages, agreements or other instruments under which there is outstanding, or by which there is secured or evidenced, any indebtedness for money borrowed of at least thirty-five million dollars ($35,000,000) (or its foreign currency equivalent) in the aggregate of the Company or any of its Subsidiaries, whether such indebtedness exists as of the Issue Date or is thereafter created, where such default:</w:t>
      </w:r>
    </w:p>
    <w:p>
      <w:pPr>
        <w:spacing w:after="0" w:line="186" w:lineRule="exact"/>
        <w:rPr>
          <w:rFonts w:ascii="Arial" w:cs="Arial" w:eastAsia="Arial" w:hAnsi="Arial"/>
          <w:sz w:val="18"/>
          <w:szCs w:val="18"/>
          <w:color w:val="auto"/>
        </w:rPr>
      </w:pPr>
    </w:p>
    <w:p>
      <w:pPr>
        <w:jc w:val="both"/>
        <w:ind w:left="1300" w:firstLine="832"/>
        <w:spacing w:after="0" w:line="263" w:lineRule="auto"/>
        <w:tabs>
          <w:tab w:leader="none" w:pos="3147" w:val="left"/>
        </w:tabs>
        <w:numPr>
          <w:ilvl w:val="2"/>
          <w:numId w:val="91"/>
        </w:numPr>
        <w:rPr>
          <w:rFonts w:ascii="Arial" w:cs="Arial" w:eastAsia="Arial" w:hAnsi="Arial"/>
          <w:sz w:val="18"/>
          <w:szCs w:val="18"/>
          <w:color w:val="auto"/>
        </w:rPr>
      </w:pPr>
      <w:r>
        <w:rPr>
          <w:rFonts w:ascii="Arial" w:cs="Arial" w:eastAsia="Arial" w:hAnsi="Arial"/>
          <w:sz w:val="18"/>
          <w:szCs w:val="18"/>
          <w:color w:val="auto"/>
        </w:rPr>
        <w:t>constitutes a failure to pay the principal of or interest on such indebtedness when due and payable at its stated maturity, upon required repurchase, upon declaration of acceleration or otherwise, in each case after the expiration of any applicable grace period; or</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3"/>
          <w:numId w:val="91"/>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1" w:name="page72"/>
    <w:bookmarkEnd w:id="71"/>
    <w:p>
      <w:pPr>
        <w:ind w:left="2364" w:hanging="888"/>
        <w:spacing w:after="0"/>
        <w:tabs>
          <w:tab w:leader="none" w:pos="23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results in such indebtedness becoming or being declared due and payable before its stated maturity,</w:t>
      </w:r>
    </w:p>
    <w:p>
      <w:pPr>
        <w:spacing w:after="0" w:line="225" w:lineRule="exact"/>
        <w:rPr>
          <w:sz w:val="20"/>
          <w:szCs w:val="20"/>
          <w:color w:val="auto"/>
        </w:rPr>
      </w:pPr>
    </w:p>
    <w:p>
      <w:pPr>
        <w:ind w:left="324" w:right="20"/>
        <w:spacing w:after="0" w:line="308" w:lineRule="auto"/>
        <w:rPr>
          <w:sz w:val="20"/>
          <w:szCs w:val="20"/>
          <w:color w:val="auto"/>
        </w:rPr>
      </w:pPr>
      <w:r>
        <w:rPr>
          <w:rFonts w:ascii="Arial" w:cs="Arial" w:eastAsia="Arial" w:hAnsi="Arial"/>
          <w:sz w:val="17"/>
          <w:szCs w:val="17"/>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46" w:lineRule="exact"/>
        <w:rPr>
          <w:sz w:val="20"/>
          <w:szCs w:val="20"/>
          <w:color w:val="auto"/>
        </w:rPr>
      </w:pPr>
    </w:p>
    <w:p>
      <w:pPr>
        <w:ind w:left="1584" w:hanging="720"/>
        <w:spacing w:after="0"/>
        <w:tabs>
          <w:tab w:leader="none" w:pos="158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or any of its Significant Subsidiaries, pursuant to or within the meaning of any Bankruptcy Law, either:</w:t>
      </w:r>
    </w:p>
    <w:p>
      <w:pPr>
        <w:spacing w:after="0" w:line="236" w:lineRule="exact"/>
        <w:rPr>
          <w:rFonts w:ascii="Arial" w:cs="Arial" w:eastAsia="Arial" w:hAnsi="Arial"/>
          <w:sz w:val="17"/>
          <w:szCs w:val="17"/>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25"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225"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takes any comparable action under any foreign Bankruptcy Law; or</w:t>
      </w:r>
    </w:p>
    <w:p>
      <w:pPr>
        <w:spacing w:after="0" w:line="225"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624" w:hanging="760"/>
        <w:spacing w:after="0"/>
        <w:tabs>
          <w:tab w:leader="none" w:pos="16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either:</w:t>
      </w:r>
    </w:p>
    <w:p>
      <w:pPr>
        <w:spacing w:after="0" w:line="225"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is for relief against Company or any of its Significant Subsidiaries in an involuntary case or proceeding;</w:t>
      </w:r>
    </w:p>
    <w:p>
      <w:pPr>
        <w:spacing w:after="0" w:line="225" w:lineRule="exact"/>
        <w:rPr>
          <w:rFonts w:ascii="Arial" w:cs="Arial" w:eastAsia="Arial" w:hAnsi="Arial"/>
          <w:sz w:val="18"/>
          <w:szCs w:val="18"/>
          <w:color w:val="auto"/>
        </w:rPr>
      </w:pPr>
    </w:p>
    <w:p>
      <w:pPr>
        <w:ind w:left="644" w:right="20" w:firstLine="832"/>
        <w:spacing w:after="0" w:line="277" w:lineRule="auto"/>
        <w:tabs>
          <w:tab w:leader="none" w:pos="2572" w:val="left"/>
        </w:tabs>
        <w:numPr>
          <w:ilvl w:val="1"/>
          <w:numId w:val="93"/>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Significant Subsidiaries, or for any substantial part of the property of the Company or any of its Significant Subsidiaries;</w:t>
      </w:r>
    </w:p>
    <w:p>
      <w:pPr>
        <w:spacing w:after="0" w:line="170"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of its Significant Subsidiaries; or</w:t>
      </w:r>
    </w:p>
    <w:p>
      <w:pPr>
        <w:spacing w:after="0" w:line="225" w:lineRule="exact"/>
        <w:rPr>
          <w:rFonts w:ascii="Arial" w:cs="Arial" w:eastAsia="Arial" w:hAnsi="Arial"/>
          <w:sz w:val="18"/>
          <w:szCs w:val="18"/>
          <w:color w:val="auto"/>
        </w:rPr>
      </w:pPr>
    </w:p>
    <w:p>
      <w:pPr>
        <w:ind w:left="2364" w:hanging="888"/>
        <w:spacing w:after="0"/>
        <w:tabs>
          <w:tab w:leader="none" w:pos="23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grants any similar relief under any foreign Bankruptcy Law,</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and, in each case under this </w:t>
      </w:r>
      <w:r>
        <w:rPr>
          <w:rFonts w:ascii="Arial" w:cs="Arial" w:eastAsia="Arial" w:hAnsi="Arial"/>
          <w:sz w:val="18"/>
          <w:szCs w:val="18"/>
          <w:b w:val="1"/>
          <w:bCs w:val="1"/>
          <w:color w:val="auto"/>
        </w:rPr>
        <w:t>Section 7.01(A)(x)</w:t>
      </w:r>
      <w:r>
        <w:rPr>
          <w:rFonts w:ascii="Arial" w:cs="Arial" w:eastAsia="Arial" w:hAnsi="Arial"/>
          <w:sz w:val="18"/>
          <w:szCs w:val="18"/>
          <w:color w:val="auto"/>
        </w:rPr>
        <w:t>, such order or decree remains unstayed and in effect for at least sixty (60) days.</w:t>
      </w:r>
    </w:p>
    <w:p>
      <w:pPr>
        <w:spacing w:after="0" w:line="225" w:lineRule="exact"/>
        <w:rPr>
          <w:sz w:val="20"/>
          <w:szCs w:val="20"/>
          <w:color w:val="auto"/>
        </w:rPr>
      </w:pPr>
    </w:p>
    <w:p>
      <w:pPr>
        <w:jc w:val="both"/>
        <w:ind w:left="-656" w:firstLine="656"/>
        <w:spacing w:after="0" w:line="266" w:lineRule="auto"/>
        <w:tabs>
          <w:tab w:leader="none" w:pos="888"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Cause Irrelevant</w:t>
      </w:r>
      <w:r>
        <w:rPr>
          <w:rFonts w:ascii="Arial" w:cs="Arial" w:eastAsia="Arial" w:hAnsi="Arial"/>
          <w:sz w:val="18"/>
          <w:szCs w:val="18"/>
          <w:color w:val="auto"/>
        </w:rPr>
        <w:t>. Each of the events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7.01(A)</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an Event of Default regardless of the cause thereof or</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395" w:lineRule="exact"/>
        <w:rPr>
          <w:rFonts w:ascii="Arial" w:cs="Arial" w:eastAsia="Arial" w:hAnsi="Arial"/>
          <w:sz w:val="18"/>
          <w:szCs w:val="18"/>
          <w:color w:val="auto"/>
        </w:rPr>
      </w:pPr>
    </w:p>
    <w:p>
      <w:pPr>
        <w:ind w:left="4884" w:hanging="111"/>
        <w:spacing w:after="0"/>
        <w:tabs>
          <w:tab w:leader="none" w:pos="4884" w:val="left"/>
        </w:tabs>
        <w:numPr>
          <w:ilvl w:val="1"/>
          <w:numId w:val="94"/>
        </w:numPr>
        <w:rPr>
          <w:rFonts w:ascii="Arial" w:cs="Arial" w:eastAsia="Arial" w:hAnsi="Arial"/>
          <w:sz w:val="18"/>
          <w:szCs w:val="18"/>
          <w:color w:val="auto"/>
        </w:rPr>
      </w:pPr>
      <w:r>
        <w:rPr>
          <w:rFonts w:ascii="Arial" w:cs="Arial" w:eastAsia="Arial" w:hAnsi="Arial"/>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2" w:name="page73"/>
    <w:bookmarkEnd w:id="72"/>
    <w:p>
      <w:pPr>
        <w:spacing w:after="0"/>
        <w:tabs>
          <w:tab w:leader="none" w:pos="1180" w:val="left"/>
        </w:tabs>
        <w:rPr>
          <w:sz w:val="20"/>
          <w:szCs w:val="20"/>
          <w:color w:val="auto"/>
        </w:rPr>
      </w:pPr>
      <w:r>
        <w:rPr>
          <w:rFonts w:ascii="Arial" w:cs="Arial" w:eastAsia="Arial" w:hAnsi="Arial"/>
          <w:sz w:val="18"/>
          <w:szCs w:val="18"/>
          <w:b w:val="1"/>
          <w:bCs w:val="1"/>
          <w:color w:val="auto"/>
        </w:rPr>
        <w:t>Section 7.02.</w:t>
        <w:tab/>
        <w:t>A</w:t>
      </w:r>
      <w:r>
        <w:rPr>
          <w:rFonts w:ascii="Arial" w:cs="Arial" w:eastAsia="Arial" w:hAnsi="Arial"/>
          <w:sz w:val="12"/>
          <w:szCs w:val="12"/>
          <w:b w:val="1"/>
          <w:bCs w:val="1"/>
          <w:color w:val="auto"/>
        </w:rPr>
        <w:t>CCELERATION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89" w:lineRule="auto"/>
        <w:tabs>
          <w:tab w:leader="none" w:pos="1536" w:val="left"/>
        </w:tabs>
        <w:numPr>
          <w:ilvl w:val="1"/>
          <w:numId w:val="95"/>
        </w:numPr>
        <w:rPr>
          <w:rFonts w:ascii="Arial" w:cs="Arial" w:eastAsia="Arial" w:hAnsi="Arial"/>
          <w:sz w:val="17"/>
          <w:szCs w:val="17"/>
          <w:color w:val="auto"/>
        </w:rPr>
      </w:pPr>
      <w:r>
        <w:rPr>
          <w:rFonts w:ascii="Arial" w:cs="Arial" w:eastAsia="Arial" w:hAnsi="Arial"/>
          <w:sz w:val="17"/>
          <w:szCs w:val="17"/>
          <w:i w:val="1"/>
          <w:iCs w:val="1"/>
          <w:color w:val="auto"/>
        </w:rPr>
        <w:t>Automatic Acceleration in Certain Circumstances</w:t>
      </w:r>
      <w:r>
        <w:rPr>
          <w:rFonts w:ascii="Arial" w:cs="Arial" w:eastAsia="Arial" w:hAnsi="Arial"/>
          <w:sz w:val="17"/>
          <w:szCs w:val="17"/>
          <w:color w:val="auto"/>
        </w:rPr>
        <w:t>. If an Event of Default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7.01(A)(viii)</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7.01(A)(ix)</w:t>
      </w:r>
      <w:r>
        <w:rPr>
          <w:rFonts w:ascii="Arial" w:cs="Arial" w:eastAsia="Arial" w:hAnsi="Arial"/>
          <w:sz w:val="17"/>
          <w:szCs w:val="17"/>
          <w:i w:val="1"/>
          <w:iCs w:val="1"/>
          <w:color w:val="auto"/>
        </w:rPr>
        <w:t xml:space="preserve"> </w:t>
      </w:r>
      <w:r>
        <w:rPr>
          <w:rFonts w:ascii="Arial" w:cs="Arial" w:eastAsia="Arial" w:hAnsi="Arial"/>
          <w:sz w:val="17"/>
          <w:szCs w:val="17"/>
          <w:color w:val="auto"/>
        </w:rPr>
        <w:t>occurs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57" w:lineRule="exact"/>
        <w:rPr>
          <w:rFonts w:ascii="Arial" w:cs="Arial" w:eastAsia="Arial" w:hAnsi="Arial"/>
          <w:sz w:val="17"/>
          <w:szCs w:val="17"/>
          <w:color w:val="auto"/>
        </w:rPr>
      </w:pPr>
    </w:p>
    <w:p>
      <w:pPr>
        <w:ind w:left="1660" w:hanging="1004"/>
        <w:spacing w:after="0"/>
        <w:tabs>
          <w:tab w:leader="none" w:pos="1660" w:val="left"/>
        </w:tabs>
        <w:numPr>
          <w:ilvl w:val="1"/>
          <w:numId w:val="95"/>
        </w:numPr>
        <w:rPr>
          <w:rFonts w:ascii="Arial" w:cs="Arial" w:eastAsia="Arial" w:hAnsi="Arial"/>
          <w:sz w:val="16"/>
          <w:szCs w:val="16"/>
          <w:color w:val="auto"/>
        </w:rPr>
      </w:pPr>
      <w:r>
        <w:rPr>
          <w:rFonts w:ascii="Arial" w:cs="Arial" w:eastAsia="Arial" w:hAnsi="Arial"/>
          <w:sz w:val="16"/>
          <w:szCs w:val="16"/>
          <w:i w:val="1"/>
          <w:iCs w:val="1"/>
          <w:color w:val="auto"/>
        </w:rPr>
        <w:t>Optional Acceleration</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7.03</w:t>
      </w:r>
      <w:r>
        <w:rPr>
          <w:rFonts w:ascii="Arial" w:cs="Arial" w:eastAsia="Arial" w:hAnsi="Arial"/>
          <w:sz w:val="16"/>
          <w:szCs w:val="16"/>
          <w:color w:val="auto"/>
        </w:rPr>
        <w:t>, if an Event of Default (other than an Event of Default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7.01(A)</w:t>
      </w:r>
    </w:p>
    <w:p>
      <w:pPr>
        <w:spacing w:after="0" w:line="50" w:lineRule="exact"/>
        <w:rPr>
          <w:rFonts w:ascii="Arial" w:cs="Arial" w:eastAsia="Arial" w:hAnsi="Arial"/>
          <w:sz w:val="16"/>
          <w:szCs w:val="16"/>
          <w:color w:val="auto"/>
        </w:rPr>
      </w:pPr>
    </w:p>
    <w:p>
      <w:pPr>
        <w:jc w:val="both"/>
        <w:ind w:firstLine="8"/>
        <w:spacing w:after="0" w:line="253" w:lineRule="auto"/>
        <w:tabs>
          <w:tab w:leader="none" w:pos="405"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 xml:space="preserve">or </w:t>
      </w:r>
      <w:r>
        <w:rPr>
          <w:rFonts w:ascii="Arial" w:cs="Arial" w:eastAsia="Arial" w:hAnsi="Arial"/>
          <w:sz w:val="18"/>
          <w:szCs w:val="18"/>
          <w:b w:val="1"/>
          <w:bCs w:val="1"/>
          <w:color w:val="auto"/>
        </w:rPr>
        <w:t>7.01(A)(ix)</w:t>
      </w:r>
      <w:r>
        <w:rPr>
          <w:rFonts w:ascii="Arial" w:cs="Arial" w:eastAsia="Arial" w:hAnsi="Arial"/>
          <w:sz w:val="18"/>
          <w:szCs w:val="18"/>
          <w:color w:val="auto"/>
        </w:rPr>
        <w:t xml:space="preserve">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92" w:lineRule="exact"/>
        <w:rPr>
          <w:rFonts w:ascii="Arial" w:cs="Arial" w:eastAsia="Arial" w:hAnsi="Arial"/>
          <w:sz w:val="18"/>
          <w:szCs w:val="18"/>
          <w:b w:val="1"/>
          <w:bCs w:val="1"/>
          <w:color w:val="auto"/>
        </w:rPr>
      </w:pPr>
    </w:p>
    <w:p>
      <w:pPr>
        <w:jc w:val="both"/>
        <w:ind w:firstLine="656"/>
        <w:spacing w:after="0" w:line="296" w:lineRule="auto"/>
        <w:tabs>
          <w:tab w:leader="none" w:pos="1733" w:val="left"/>
        </w:tabs>
        <w:numPr>
          <w:ilvl w:val="1"/>
          <w:numId w:val="96"/>
        </w:numPr>
        <w:rPr>
          <w:rFonts w:ascii="Arial" w:cs="Arial" w:eastAsia="Arial" w:hAnsi="Arial"/>
          <w:sz w:val="16"/>
          <w:szCs w:val="16"/>
          <w:color w:val="auto"/>
        </w:rPr>
      </w:pPr>
      <w:r>
        <w:rPr>
          <w:rFonts w:ascii="Arial" w:cs="Arial" w:eastAsia="Arial" w:hAnsi="Arial"/>
          <w:sz w:val="16"/>
          <w:szCs w:val="16"/>
          <w:i w:val="1"/>
          <w:iCs w:val="1"/>
          <w:color w:val="auto"/>
        </w:rPr>
        <w:t>Rescission of Acceleration</w:t>
      </w:r>
      <w:r>
        <w:rPr>
          <w:rFonts w:ascii="Arial" w:cs="Arial" w:eastAsia="Arial" w:hAnsi="Arial"/>
          <w:sz w:val="16"/>
          <w:szCs w:val="16"/>
          <w:color w:val="auto"/>
        </w:rPr>
        <w:t>. Notwithstanding anything to the contrary in this Indenture or the Notes,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7.03.</w:t>
        <w:tab/>
        <w:t>S</w:t>
      </w:r>
      <w:r>
        <w:rPr>
          <w:rFonts w:ascii="Arial" w:cs="Arial" w:eastAsia="Arial" w:hAnsi="Arial"/>
          <w:sz w:val="12"/>
          <w:szCs w:val="12"/>
          <w:b w:val="1"/>
          <w:bCs w:val="1"/>
          <w:color w:val="auto"/>
        </w:rPr>
        <w:t>OLE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EMEDY FOR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AILURE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1" w:lineRule="auto"/>
        <w:tabs>
          <w:tab w:leader="none" w:pos="159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Notwithstanding anything to the contrary in this Indenture or the Notes, the Company may elect that the sole remedy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Event of Default (a “</w:t>
      </w:r>
      <w:r>
        <w:rPr>
          <w:rFonts w:ascii="Arial" w:cs="Arial" w:eastAsia="Arial" w:hAnsi="Arial"/>
          <w:sz w:val="17"/>
          <w:szCs w:val="17"/>
          <w:b w:val="1"/>
          <w:bCs w:val="1"/>
          <w:color w:val="auto"/>
        </w:rPr>
        <w:t>Reporting Event of Default</w:t>
      </w:r>
      <w:r>
        <w:rPr>
          <w:rFonts w:ascii="Arial" w:cs="Arial" w:eastAsia="Arial" w:hAnsi="Arial"/>
          <w:sz w:val="17"/>
          <w:szCs w:val="17"/>
          <w:color w:val="auto"/>
        </w:rPr>
        <w:t xml:space="preserve">”) pursuant to </w:t>
      </w:r>
      <w:r>
        <w:rPr>
          <w:rFonts w:ascii="Arial" w:cs="Arial" w:eastAsia="Arial" w:hAnsi="Arial"/>
          <w:sz w:val="17"/>
          <w:szCs w:val="17"/>
          <w:b w:val="1"/>
          <w:bCs w:val="1"/>
          <w:color w:val="auto"/>
        </w:rPr>
        <w:t>Section 7.01(A)(vi)</w:t>
      </w:r>
      <w:r>
        <w:rPr>
          <w:rFonts w:ascii="Arial" w:cs="Arial" w:eastAsia="Arial" w:hAnsi="Arial"/>
          <w:sz w:val="17"/>
          <w:szCs w:val="17"/>
          <w:color w:val="auto"/>
        </w:rPr>
        <w:t xml:space="preserve"> arising from the Company’s failure to comply with </w:t>
      </w:r>
      <w:r>
        <w:rPr>
          <w:rFonts w:ascii="Arial" w:cs="Arial" w:eastAsia="Arial" w:hAnsi="Arial"/>
          <w:sz w:val="17"/>
          <w:szCs w:val="17"/>
          <w:b w:val="1"/>
          <w:bCs w:val="1"/>
          <w:color w:val="auto"/>
        </w:rPr>
        <w:t>Section 3.02</w:t>
      </w:r>
      <w:r>
        <w:rPr>
          <w:rFonts w:ascii="Arial" w:cs="Arial" w:eastAsia="Arial" w:hAnsi="Arial"/>
          <w:sz w:val="17"/>
          <w:szCs w:val="17"/>
          <w:color w:val="auto"/>
        </w:rPr>
        <w:t xml:space="preserve"> will, for each of the first one hundred and eighty (180)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Arial" w:cs="Arial" w:eastAsia="Arial" w:hAnsi="Arial"/>
          <w:sz w:val="17"/>
          <w:szCs w:val="17"/>
          <w:b w:val="1"/>
          <w:bCs w:val="1"/>
          <w:color w:val="auto"/>
        </w:rPr>
        <w:t>Section 7.02</w:t>
      </w:r>
      <w:r>
        <w:rPr>
          <w:rFonts w:ascii="Arial" w:cs="Arial" w:eastAsia="Arial" w:hAnsi="Arial"/>
          <w:sz w:val="17"/>
          <w:szCs w:val="17"/>
          <w:color w:val="auto"/>
        </w:rPr>
        <w:t xml:space="preserve"> on account of the relevant Reporting Event of Default from, and including, the one hundred and eighty first (181st) calendar day on which a Reporting Event of Default has occurred and is continuing or if the Company fails to pay any accrued and unpaid Special Interest when due; and (ii) Special Interest will cease to accrue on any Notes from, and including, such one hundred and eighty first (181st) calendar day (it being understood that interest on any defaulted Special Interest will nonetheless accrue pursuant to </w:t>
      </w:r>
      <w:r>
        <w:rPr>
          <w:rFonts w:ascii="Arial" w:cs="Arial" w:eastAsia="Arial" w:hAnsi="Arial"/>
          <w:sz w:val="17"/>
          <w:szCs w:val="17"/>
          <w:b w:val="1"/>
          <w:bCs w:val="1"/>
          <w:color w:val="auto"/>
        </w:rPr>
        <w:t>Section 2.05(B)</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firstLine="656"/>
        <w:spacing w:after="0" w:line="291" w:lineRule="auto"/>
        <w:tabs>
          <w:tab w:leader="none" w:pos="1585"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Amount and Payment of Special Interest</w:t>
      </w:r>
      <w:r>
        <w:rPr>
          <w:rFonts w:ascii="Arial" w:cs="Arial" w:eastAsia="Arial" w:hAnsi="Arial"/>
          <w:sz w:val="16"/>
          <w:szCs w:val="16"/>
          <w:color w:val="auto"/>
        </w:rPr>
        <w:t>. Any Special Interest that accrues on a Note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7.03(A)</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same dates and in the same manner as the Stated Interest on such Note and will accrue at a rate per annum equal to one quarter of one percent (0.25%) of the principal amount thereof for the first ninety (90) days on which Special Interest accrues and, thereafter, at a rate per annum equal to one half of one percent (0.50%) of the principal amount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Special Interest, together with any Additional Interest that may accrue as a result of the Company’s failure to timely file any report (other than Form 8-K reports) that it is required to file with the SEC pursuant to Section 13 or 15(d) of the Exchange Act,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379" w:lineRule="exact"/>
        <w:rPr>
          <w:rFonts w:ascii="Arial" w:cs="Arial" w:eastAsia="Arial" w:hAnsi="Arial"/>
          <w:sz w:val="16"/>
          <w:szCs w:val="16"/>
          <w:color w:val="auto"/>
        </w:rPr>
      </w:pPr>
    </w:p>
    <w:p>
      <w:pPr>
        <w:ind w:left="5540" w:hanging="111"/>
        <w:spacing w:after="0"/>
        <w:tabs>
          <w:tab w:leader="none" w:pos="55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56"/>
        <w:spacing w:after="0" w:line="277" w:lineRule="auto"/>
        <w:tabs>
          <w:tab w:leader="none" w:pos="1679"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Notice of Election</w:t>
      </w:r>
      <w:r>
        <w:rPr>
          <w:rFonts w:ascii="Arial" w:cs="Arial" w:eastAsia="Arial" w:hAnsi="Arial"/>
          <w:sz w:val="17"/>
          <w:szCs w:val="17"/>
          <w:color w:val="auto"/>
        </w:rPr>
        <w:t>. To make the election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7.03(A)</w:t>
      </w:r>
      <w:r>
        <w:rPr>
          <w:rFonts w:ascii="Arial" w:cs="Arial" w:eastAsia="Arial" w:hAnsi="Arial"/>
          <w:sz w:val="17"/>
          <w:szCs w:val="17"/>
          <w:color w:val="auto"/>
        </w:rPr>
        <w:t>, the Company must send to the Holders, the Trustee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Paying Agent, before the date on which each Reporting Event of Default first occurs, a notice that (i) briefly describes the report(s) that the Company failed to file with or furnish to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71" w:lineRule="exact"/>
        <w:rPr>
          <w:rFonts w:ascii="Arial" w:cs="Arial" w:eastAsia="Arial" w:hAnsi="Arial"/>
          <w:sz w:val="17"/>
          <w:szCs w:val="17"/>
          <w:color w:val="auto"/>
        </w:rPr>
      </w:pPr>
    </w:p>
    <w:p>
      <w:pPr>
        <w:jc w:val="both"/>
        <w:ind w:firstLine="656"/>
        <w:spacing w:after="0" w:line="301" w:lineRule="auto"/>
        <w:tabs>
          <w:tab w:leader="none" w:pos="1496"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Notice to Trustee and Paying Agent; Trustee’s Disclaimer</w:t>
      </w:r>
      <w:r>
        <w:rPr>
          <w:rFonts w:ascii="Arial" w:cs="Arial" w:eastAsia="Arial" w:hAnsi="Arial"/>
          <w:sz w:val="16"/>
          <w:szCs w:val="16"/>
          <w:color w:val="auto"/>
        </w:rPr>
        <w:t>. If Special Interest accrues on any Note, then, no later than five (5)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53" w:lineRule="exact"/>
        <w:rPr>
          <w:rFonts w:ascii="Arial" w:cs="Arial" w:eastAsia="Arial" w:hAnsi="Arial"/>
          <w:sz w:val="16"/>
          <w:szCs w:val="16"/>
          <w:color w:val="auto"/>
        </w:rPr>
      </w:pPr>
    </w:p>
    <w:p>
      <w:pPr>
        <w:ind w:firstLine="656"/>
        <w:spacing w:after="0" w:line="312" w:lineRule="auto"/>
        <w:tabs>
          <w:tab w:leader="none" w:pos="1507"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No Effect on Other Events of Default</w:t>
      </w:r>
      <w:r>
        <w:rPr>
          <w:rFonts w:ascii="Arial" w:cs="Arial" w:eastAsia="Arial" w:hAnsi="Arial"/>
          <w:sz w:val="17"/>
          <w:szCs w:val="17"/>
          <w:color w:val="auto"/>
        </w:rPr>
        <w:t>. No election pursuant to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7.03</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a Reporting Event of Default will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rights of any Holder with respect to any other Event of Default, including with respect to any other Reporting Event of Default.</w:t>
      </w:r>
    </w:p>
    <w:p>
      <w:pPr>
        <w:spacing w:after="0" w:line="14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7.04.</w:t>
        <w:tab/>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342" w:lineRule="auto"/>
        <w:tabs>
          <w:tab w:leader="none" w:pos="1523"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Trustee May Pursue All Remedies</w:t>
      </w:r>
      <w:r>
        <w:rPr>
          <w:rFonts w:ascii="Arial" w:cs="Arial" w:eastAsia="Arial" w:hAnsi="Arial"/>
          <w:sz w:val="16"/>
          <w:szCs w:val="16"/>
          <w:color w:val="auto"/>
        </w:rPr>
        <w:t>. If an Event of Default occurs and is continuing, then the Trustee may pursue any available remedy</w:t>
      </w:r>
      <w:r>
        <w:rPr>
          <w:rFonts w:ascii="Arial" w:cs="Arial" w:eastAsia="Arial" w:hAnsi="Arial"/>
          <w:sz w:val="16"/>
          <w:szCs w:val="16"/>
          <w:i w:val="1"/>
          <w:iCs w:val="1"/>
          <w:color w:val="auto"/>
        </w:rPr>
        <w:t xml:space="preserve"> </w:t>
      </w:r>
      <w:r>
        <w:rPr>
          <w:rFonts w:ascii="Arial" w:cs="Arial" w:eastAsia="Arial" w:hAnsi="Arial"/>
          <w:sz w:val="16"/>
          <w:szCs w:val="16"/>
          <w:color w:val="auto"/>
        </w:rPr>
        <w:t>to collect the payment of any amounts due with respect to the Notes or to enforce the performance of any provision of this Indenture or the Notes.</w:t>
      </w:r>
    </w:p>
    <w:p>
      <w:pPr>
        <w:spacing w:after="0" w:line="123" w:lineRule="exact"/>
        <w:rPr>
          <w:rFonts w:ascii="Arial" w:cs="Arial" w:eastAsia="Arial" w:hAnsi="Arial"/>
          <w:sz w:val="16"/>
          <w:szCs w:val="16"/>
          <w:color w:val="auto"/>
        </w:rPr>
      </w:pPr>
    </w:p>
    <w:p>
      <w:pPr>
        <w:jc w:val="both"/>
        <w:ind w:firstLine="656"/>
        <w:spacing w:after="0" w:line="311" w:lineRule="auto"/>
        <w:tabs>
          <w:tab w:leader="none" w:pos="1598"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Procedural Matters</w:t>
      </w:r>
      <w:r>
        <w:rPr>
          <w:rFonts w:ascii="Arial" w:cs="Arial" w:eastAsia="Arial" w:hAnsi="Arial"/>
          <w:sz w:val="16"/>
          <w:szCs w:val="16"/>
          <w:color w:val="auto"/>
        </w:rPr>
        <w:t>. The Trustee may maintain a proceeding even if it does not possess any of the Notes or does not produce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4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7.05.</w:t>
        <w:tab/>
        <w:t>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AST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An Event of Default pursuant to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(iv)</w:t>
      </w:r>
      <w:r>
        <w:rPr>
          <w:rFonts w:ascii="Arial" w:cs="Arial" w:eastAsia="Arial" w:hAnsi="Arial"/>
          <w:sz w:val="17"/>
          <w:szCs w:val="17"/>
          <w:color w:val="auto"/>
        </w:rPr>
        <w:t xml:space="preserve"> or </w:t>
      </w:r>
      <w:r>
        <w:rPr>
          <w:rFonts w:ascii="Arial" w:cs="Arial" w:eastAsia="Arial" w:hAnsi="Arial"/>
          <w:sz w:val="17"/>
          <w:szCs w:val="17"/>
          <w:b w:val="1"/>
          <w:bCs w:val="1"/>
          <w:color w:val="auto"/>
        </w:rPr>
        <w:t>(vi)</w:t>
      </w:r>
      <w:r>
        <w:rPr>
          <w:rFonts w:ascii="Arial" w:cs="Arial" w:eastAsia="Arial" w:hAnsi="Arial"/>
          <w:sz w:val="17"/>
          <w:szCs w:val="17"/>
          <w:color w:val="auto"/>
        </w:rPr>
        <w:t xml:space="preserve"> of </w:t>
      </w:r>
      <w:r>
        <w:rPr>
          <w:rFonts w:ascii="Arial" w:cs="Arial" w:eastAsia="Arial" w:hAnsi="Arial"/>
          <w:sz w:val="17"/>
          <w:szCs w:val="17"/>
          <w:b w:val="1"/>
          <w:bCs w:val="1"/>
          <w:color w:val="auto"/>
        </w:rPr>
        <w:t>Section 7.01(A)</w:t>
      </w:r>
      <w:r>
        <w:rPr>
          <w:rFonts w:ascii="Arial" w:cs="Arial" w:eastAsia="Arial" w:hAnsi="Arial"/>
          <w:sz w:val="17"/>
          <w:szCs w:val="17"/>
          <w:color w:val="auto"/>
        </w:rPr>
        <w:t xml:space="preserve"> (that, in the case of </w:t>
      </w:r>
      <w:r>
        <w:rPr>
          <w:rFonts w:ascii="Arial" w:cs="Arial" w:eastAsia="Arial" w:hAnsi="Arial"/>
          <w:sz w:val="17"/>
          <w:szCs w:val="17"/>
          <w:b w:val="1"/>
          <w:bCs w:val="1"/>
          <w:color w:val="auto"/>
        </w:rPr>
        <w:t>clause (vi)</w:t>
      </w:r>
      <w:r>
        <w:rPr>
          <w:rFonts w:ascii="Arial" w:cs="Arial" w:eastAsia="Arial" w:hAnsi="Arial"/>
          <w:sz w:val="17"/>
          <w:szCs w:val="17"/>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tabs>
          <w:tab w:leader="none" w:pos="120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7.06.</w:t>
        <w:tab/>
        <w:t>C</w:t>
      </w:r>
      <w:r>
        <w:rPr>
          <w:rFonts w:ascii="Arial" w:cs="Arial" w:eastAsia="Arial" w:hAnsi="Arial"/>
          <w:sz w:val="12"/>
          <w:szCs w:val="12"/>
          <w:b w:val="1"/>
          <w:bCs w:val="1"/>
          <w:color w:val="auto"/>
        </w:rPr>
        <w:t>ONTROL BY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AJORITY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Arial" w:cs="Arial" w:eastAsia="Arial" w:hAnsi="Arial"/>
          <w:sz w:val="18"/>
          <w:szCs w:val="18"/>
          <w:b w:val="1"/>
          <w:bCs w:val="1"/>
          <w:color w:val="auto"/>
        </w:rPr>
        <w:t>Section 10.01</w:t>
      </w:r>
      <w:r>
        <w:rPr>
          <w:rFonts w:ascii="Arial" w:cs="Arial" w:eastAsia="Arial" w:hAnsi="Arial"/>
          <w:sz w:val="18"/>
          <w:szCs w:val="18"/>
          <w:color w:val="auto"/>
        </w:rPr>
        <w:t>, the Trustee determines may be unduly prejudicial to the rights of other Holders or may involve the Trustee in liability.</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7.07.</w:t>
        <w:tab/>
        <w:t>L</w:t>
      </w:r>
      <w:r>
        <w:rPr>
          <w:rFonts w:ascii="Arial" w:cs="Arial" w:eastAsia="Arial" w:hAnsi="Arial"/>
          <w:sz w:val="12"/>
          <w:szCs w:val="12"/>
          <w:b w:val="1"/>
          <w:bCs w:val="1"/>
          <w:color w:val="auto"/>
        </w:rPr>
        <w:t>IMITATION 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 Holder may pursue any remedy with respect to this Indenture or the Notes (except to enforce (x) its rights to receive the principal of, or the Redemption Price or Fundamental Change Repurchase Price for, or interest on, any Notes; or (y) the Company’s obligations to convert any Notes pursuant to </w:t>
      </w:r>
      <w:r>
        <w:rPr>
          <w:rFonts w:ascii="Arial" w:cs="Arial" w:eastAsia="Arial" w:hAnsi="Arial"/>
          <w:sz w:val="18"/>
          <w:szCs w:val="18"/>
          <w:b w:val="1"/>
          <w:bCs w:val="1"/>
          <w:color w:val="auto"/>
        </w:rPr>
        <w:t>Article 5</w:t>
      </w:r>
      <w:r>
        <w:rPr>
          <w:rFonts w:ascii="Arial" w:cs="Arial" w:eastAsia="Arial" w:hAnsi="Arial"/>
          <w:sz w:val="18"/>
          <w:szCs w:val="18"/>
          <w:color w:val="auto"/>
        </w:rPr>
        <w:t>), unless:</w:t>
      </w:r>
    </w:p>
    <w:p>
      <w:pPr>
        <w:spacing w:after="0" w:line="184" w:lineRule="exact"/>
        <w:rPr>
          <w:sz w:val="20"/>
          <w:szCs w:val="20"/>
          <w:color w:val="auto"/>
        </w:rPr>
      </w:pPr>
    </w:p>
    <w:p>
      <w:pPr>
        <w:ind w:left="1500" w:hanging="844"/>
        <w:spacing w:after="0"/>
        <w:tabs>
          <w:tab w:leader="none" w:pos="1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Holder has previously delivered to the Trustee notice that an Event of Default is continuing;</w:t>
      </w:r>
    </w:p>
    <w:p>
      <w:pPr>
        <w:spacing w:after="0" w:line="225" w:lineRule="exact"/>
        <w:rPr>
          <w:rFonts w:ascii="Arial" w:cs="Arial" w:eastAsia="Arial" w:hAnsi="Arial"/>
          <w:sz w:val="18"/>
          <w:szCs w:val="18"/>
          <w:color w:val="auto"/>
        </w:rPr>
      </w:pPr>
    </w:p>
    <w:p>
      <w:pPr>
        <w:ind w:firstLine="656"/>
        <w:spacing w:after="0" w:line="277" w:lineRule="auto"/>
        <w:tabs>
          <w:tab w:leader="none" w:pos="15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Holders of at least twenty five percent (25%) in aggregate principal amount of the Notes then outstanding deliver a written request to the Trustee to pursue such remedy;</w:t>
      </w:r>
    </w:p>
    <w:p>
      <w:pPr>
        <w:spacing w:after="0" w:line="170" w:lineRule="exact"/>
        <w:rPr>
          <w:rFonts w:ascii="Arial" w:cs="Arial" w:eastAsia="Arial" w:hAnsi="Arial"/>
          <w:sz w:val="18"/>
          <w:szCs w:val="18"/>
          <w:color w:val="auto"/>
        </w:rPr>
      </w:pPr>
    </w:p>
    <w:p>
      <w:pPr>
        <w:ind w:firstLine="656"/>
        <w:spacing w:after="0" w:line="277" w:lineRule="auto"/>
        <w:tabs>
          <w:tab w:leader="none" w:pos="162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Trustee does not comply with such request within sixty (60) calendar days after its receipt of such request and such offer of security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indemnity; and</w:t>
      </w:r>
    </w:p>
    <w:p>
      <w:pPr>
        <w:spacing w:after="0" w:line="210" w:lineRule="exact"/>
        <w:rPr>
          <w:rFonts w:ascii="Arial" w:cs="Arial" w:eastAsia="Arial" w:hAnsi="Arial"/>
          <w:sz w:val="16"/>
          <w:szCs w:val="16"/>
          <w:color w:val="auto"/>
        </w:rPr>
      </w:pPr>
    </w:p>
    <w:p>
      <w:pPr>
        <w:ind w:firstLine="656"/>
        <w:spacing w:after="0" w:line="277" w:lineRule="auto"/>
        <w:tabs>
          <w:tab w:leader="none" w:pos="15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Holder of a Note may not use this Indenture to prejudice the rights of another Holder or to obtain a preference or priority over another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Trustee will have no duty to determine whether any Holder’s use of this Indenture complies with the preceding sentence.</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7.08.</w:t>
        <w:tab/>
        <w:t>A</w:t>
      </w:r>
      <w:r>
        <w:rPr>
          <w:rFonts w:ascii="Arial" w:cs="Arial" w:eastAsia="Arial" w:hAnsi="Arial"/>
          <w:sz w:val="12"/>
          <w:szCs w:val="12"/>
          <w:b w:val="1"/>
          <w:bCs w:val="1"/>
          <w:color w:val="auto"/>
        </w:rPr>
        <w:t>BSOLUTE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 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NSTITUTE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 FOR THE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NFORCEMENT OF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ONSIDERATION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Notwithstanding anything to the contrary in this Indenture or the Notes, the right of each Holder of a Note to bring suit for the enforcement of any payment or delivery, as applicable, of the principal of, or the redemption price or the Redemption Price or Fundamental Change Repurchase Price for, or any interest on, or the Conversion Consideration due pursuant to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upon conversion of, such Note on or after the respective due dates therefor provided in this Indenture and the Notes, will not be impaired or affected without the consent of such Holder.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tabs>
          <w:tab w:leader="none" w:pos="1180" w:val="left"/>
        </w:tabs>
        <w:rPr>
          <w:sz w:val="20"/>
          <w:szCs w:val="20"/>
          <w:color w:val="auto"/>
        </w:rPr>
      </w:pPr>
      <w:r>
        <w:rPr>
          <w:rFonts w:ascii="Arial" w:cs="Arial" w:eastAsia="Arial" w:hAnsi="Arial"/>
          <w:sz w:val="18"/>
          <w:szCs w:val="18"/>
          <w:b w:val="1"/>
          <w:bCs w:val="1"/>
          <w:color w:val="auto"/>
        </w:rPr>
        <w:t>Section 7.09.</w:t>
        <w:tab/>
        <w:t>C</w:t>
      </w:r>
      <w:r>
        <w:rPr>
          <w:rFonts w:ascii="Arial" w:cs="Arial" w:eastAsia="Arial" w:hAnsi="Arial"/>
          <w:sz w:val="12"/>
          <w:szCs w:val="12"/>
          <w:b w:val="1"/>
          <w:bCs w:val="1"/>
          <w:color w:val="auto"/>
        </w:rPr>
        <w:t>OLLECTION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 BY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The Trustee will have the right, upon the occurrence and continuance of an Event of Default pursuant to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or </w:t>
      </w:r>
      <w:r>
        <w:rPr>
          <w:rFonts w:ascii="Arial" w:cs="Arial" w:eastAsia="Arial" w:hAnsi="Arial"/>
          <w:sz w:val="17"/>
          <w:szCs w:val="17"/>
          <w:b w:val="1"/>
          <w:bCs w:val="1"/>
          <w:color w:val="auto"/>
        </w:rPr>
        <w:t>(iv)</w:t>
      </w:r>
      <w:r>
        <w:rPr>
          <w:rFonts w:ascii="Arial" w:cs="Arial" w:eastAsia="Arial" w:hAnsi="Arial"/>
          <w:sz w:val="17"/>
          <w:szCs w:val="17"/>
          <w:color w:val="auto"/>
        </w:rPr>
        <w:t xml:space="preserve"> of </w:t>
      </w:r>
      <w:r>
        <w:rPr>
          <w:rFonts w:ascii="Arial" w:cs="Arial" w:eastAsia="Arial" w:hAnsi="Arial"/>
          <w:sz w:val="17"/>
          <w:szCs w:val="17"/>
          <w:b w:val="1"/>
          <w:bCs w:val="1"/>
          <w:color w:val="auto"/>
        </w:rPr>
        <w:t>Section 7.01(A)</w:t>
      </w:r>
      <w:r>
        <w:rPr>
          <w:rFonts w:ascii="Arial" w:cs="Arial" w:eastAsia="Arial" w:hAnsi="Arial"/>
          <w:sz w:val="17"/>
          <w:szCs w:val="17"/>
          <w:color w:val="auto"/>
        </w:rPr>
        <w:t xml:space="preserve">, to recover judgment in its own name and as trustee of an express trust against the Company for the total unpaid or undelivered principal of, or the Redemption Price or Fundamental Change Repurchase Price for, or interest on, or Conversion Consideration due pursuant to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Arial" w:cs="Arial" w:eastAsia="Arial" w:hAnsi="Arial"/>
          <w:sz w:val="17"/>
          <w:szCs w:val="17"/>
          <w:b w:val="1"/>
          <w:bCs w:val="1"/>
          <w:color w:val="auto"/>
        </w:rPr>
        <w:t>Section 10.06</w:t>
      </w:r>
      <w:r>
        <w:rPr>
          <w:rFonts w:ascii="Arial" w:cs="Arial" w:eastAsia="Arial" w:hAnsi="Arial"/>
          <w:sz w:val="17"/>
          <w:szCs w:val="17"/>
          <w:color w:val="auto"/>
        </w:rPr>
        <w:t>.</w:t>
      </w:r>
    </w:p>
    <w:p>
      <w:pPr>
        <w:spacing w:after="0" w:line="1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7.10.</w:t>
        <w:tab/>
        <w:t>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ROOFS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LAIM</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Arial" w:cs="Arial" w:eastAsia="Arial" w:hAnsi="Arial"/>
          <w:sz w:val="16"/>
          <w:szCs w:val="16"/>
          <w:b w:val="1"/>
          <w:bCs w:val="1"/>
          <w:color w:val="auto"/>
        </w:rPr>
        <w:t>Section 10.06</w:t>
      </w:r>
      <w:r>
        <w:rPr>
          <w:rFonts w:ascii="Arial" w:cs="Arial" w:eastAsia="Arial" w:hAnsi="Arial"/>
          <w:sz w:val="16"/>
          <w:szCs w:val="16"/>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7.11.</w:t>
        <w:tab/>
        <w:t>P</w:t>
      </w:r>
      <w:r>
        <w:rPr>
          <w:rFonts w:ascii="Arial" w:cs="Arial" w:eastAsia="Arial" w:hAnsi="Arial"/>
          <w:sz w:val="12"/>
          <w:szCs w:val="12"/>
          <w:b w:val="1"/>
          <w:bCs w:val="1"/>
          <w:color w:val="auto"/>
        </w:rPr>
        <w:t>RIORITIES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Trustee will pay or deliver in the following order any money or other property that it collects pursuant to this </w:t>
      </w:r>
      <w:r>
        <w:rPr>
          <w:rFonts w:ascii="Arial" w:cs="Arial" w:eastAsia="Arial" w:hAnsi="Arial"/>
          <w:sz w:val="18"/>
          <w:szCs w:val="18"/>
          <w:b w:val="1"/>
          <w:bCs w:val="1"/>
          <w:color w:val="auto"/>
        </w:rPr>
        <w:t>Article 7</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and its agents and attorneys for amounts due under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10.06</w:t>
      </w:r>
      <w:r>
        <w:rPr>
          <w:rFonts w:ascii="Arial" w:cs="Arial" w:eastAsia="Arial" w:hAnsi="Arial"/>
          <w:sz w:val="18"/>
          <w:szCs w:val="18"/>
          <w:color w:val="auto"/>
        </w:rPr>
        <w:t>, including payment of all fees,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expenses and liabilities incurred, and all advances made, by the Trustee and the costs and expenses of collection;</w:t>
      </w:r>
    </w:p>
    <w:p>
      <w:pPr>
        <w:spacing w:after="0" w:line="166"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Holders for unpaid amounts or other property due on the Notes, including the principal of, or the Redemption Price or</w:t>
      </w:r>
      <w:r>
        <w:rPr>
          <w:rFonts w:ascii="Arial" w:cs="Arial" w:eastAsia="Arial" w:hAnsi="Arial"/>
          <w:sz w:val="17"/>
          <w:szCs w:val="17"/>
          <w:i w:val="1"/>
          <w:iCs w:val="1"/>
          <w:color w:val="auto"/>
        </w:rPr>
        <w:t xml:space="preserve"> </w:t>
      </w:r>
      <w:r>
        <w:rPr>
          <w:rFonts w:ascii="Arial" w:cs="Arial" w:eastAsia="Arial" w:hAnsi="Arial"/>
          <w:sz w:val="17"/>
          <w:szCs w:val="17"/>
          <w:color w:val="auto"/>
        </w:rPr>
        <w:t>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65"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Company or such other Person as a court of competent jurisdiction directs.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89" w:lineRule="auto"/>
        <w:rPr>
          <w:sz w:val="20"/>
          <w:szCs w:val="20"/>
          <w:color w:val="auto"/>
        </w:rPr>
      </w:pPr>
      <w:r>
        <w:rPr>
          <w:rFonts w:ascii="Arial" w:cs="Arial" w:eastAsia="Arial" w:hAnsi="Arial"/>
          <w:sz w:val="17"/>
          <w:szCs w:val="17"/>
          <w:color w:val="auto"/>
        </w:rPr>
        <w:t xml:space="preserve">The Trustee may fix a record date and payment date for any payment or delivery to the Holders pursuant to this </w:t>
      </w:r>
      <w:r>
        <w:rPr>
          <w:rFonts w:ascii="Arial" w:cs="Arial" w:eastAsia="Arial" w:hAnsi="Arial"/>
          <w:sz w:val="17"/>
          <w:szCs w:val="17"/>
          <w:b w:val="1"/>
          <w:bCs w:val="1"/>
          <w:color w:val="auto"/>
        </w:rPr>
        <w:t>Section 7.11</w:t>
      </w:r>
      <w:r>
        <w:rPr>
          <w:rFonts w:ascii="Arial" w:cs="Arial" w:eastAsia="Arial" w:hAnsi="Arial"/>
          <w:sz w:val="17"/>
          <w:szCs w:val="17"/>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7.12.</w:t>
        <w:tab/>
        <w:t>U</w:t>
      </w:r>
      <w:r>
        <w:rPr>
          <w:rFonts w:ascii="Arial" w:cs="Arial" w:eastAsia="Arial" w:hAnsi="Arial"/>
          <w:sz w:val="12"/>
          <w:szCs w:val="12"/>
          <w:b w:val="1"/>
          <w:bCs w:val="1"/>
          <w:color w:val="auto"/>
        </w:rPr>
        <w:t>NDERTAKING FOR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OSTS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w:t>
      </w:r>
      <w:r>
        <w:rPr>
          <w:rFonts w:ascii="Arial" w:cs="Arial" w:eastAsia="Arial" w:hAnsi="Arial"/>
          <w:sz w:val="18"/>
          <w:szCs w:val="18"/>
          <w:b w:val="1"/>
          <w:bCs w:val="1"/>
          <w:color w:val="auto"/>
        </w:rPr>
        <w:t>Section 7.12</w:t>
      </w:r>
      <w:r>
        <w:rPr>
          <w:rFonts w:ascii="Arial" w:cs="Arial" w:eastAsia="Arial" w:hAnsi="Arial"/>
          <w:sz w:val="18"/>
          <w:szCs w:val="18"/>
          <w:color w:val="auto"/>
        </w:rPr>
        <w:t xml:space="preserve"> does not apply to any suit by the Trustee, any suit by a Holder pursuant to </w:t>
      </w:r>
      <w:r>
        <w:rPr>
          <w:rFonts w:ascii="Arial" w:cs="Arial" w:eastAsia="Arial" w:hAnsi="Arial"/>
          <w:sz w:val="18"/>
          <w:szCs w:val="18"/>
          <w:b w:val="1"/>
          <w:bCs w:val="1"/>
          <w:color w:val="auto"/>
        </w:rPr>
        <w:t>Section 7.08</w:t>
      </w:r>
      <w:r>
        <w:rPr>
          <w:rFonts w:ascii="Arial" w:cs="Arial" w:eastAsia="Arial" w:hAnsi="Arial"/>
          <w:sz w:val="18"/>
          <w:szCs w:val="18"/>
          <w:color w:val="auto"/>
        </w:rPr>
        <w:t xml:space="preserve"> or any suit by one or more Holders of more than ten percent (10%) in aggregate principal amount of the Notes then outstanding.</w:t>
      </w:r>
    </w:p>
    <w:p>
      <w:pPr>
        <w:spacing w:after="0" w:line="188" w:lineRule="exact"/>
        <w:rPr>
          <w:sz w:val="20"/>
          <w:szCs w:val="20"/>
          <w:color w:val="auto"/>
        </w:rPr>
      </w:pPr>
    </w:p>
    <w:p>
      <w:pPr>
        <w:ind w:left="3040"/>
        <w:spacing w:after="0"/>
        <w:tabs>
          <w:tab w:leader="none" w:pos="414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AMENDMENTS, SUPPLEMENTS AND WAIVERS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8.01.</w:t>
        <w:tab/>
        <w:t>W</w:t>
      </w:r>
      <w:r>
        <w:rPr>
          <w:rFonts w:ascii="Arial" w:cs="Arial" w:eastAsia="Arial" w:hAnsi="Arial"/>
          <w:sz w:val="12"/>
          <w:szCs w:val="12"/>
          <w:b w:val="1"/>
          <w:bCs w:val="1"/>
          <w:color w:val="auto"/>
        </w:rPr>
        <w:t>ITHOUT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b w:val="1"/>
          <w:bCs w:val="1"/>
          <w:color w:val="auto"/>
        </w:rPr>
        <w:t>Section 8.02</w:t>
      </w:r>
      <w:r>
        <w:rPr>
          <w:rFonts w:ascii="Arial" w:cs="Arial" w:eastAsia="Arial" w:hAnsi="Arial"/>
          <w:sz w:val="18"/>
          <w:szCs w:val="18"/>
          <w:color w:val="auto"/>
        </w:rPr>
        <w:t>, the Company and the Trustee may amend or supplement this Indenture or the Notes without the consent of any Holder to:</w:t>
      </w:r>
    </w:p>
    <w:p>
      <w:pPr>
        <w:spacing w:after="0" w:line="166" w:lineRule="exact"/>
        <w:rPr>
          <w:sz w:val="20"/>
          <w:szCs w:val="20"/>
          <w:color w:val="auto"/>
        </w:rPr>
      </w:pPr>
    </w:p>
    <w:p>
      <w:pPr>
        <w:ind w:left="1500" w:hanging="844"/>
        <w:spacing w:after="0"/>
        <w:tabs>
          <w:tab w:leader="none" w:pos="1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cure any ambiguity or correct any omission, defect or inconsistency in this Indenture or the Notes;</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add guarantees with respect to the Company’s obligations under this Indenture or the Notes;</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add to the Company’s covenants or Events of Default for the benefit of the Holders or surrender any right or power conferred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1660" w:hanging="1004"/>
        <w:spacing w:after="0"/>
        <w:tabs>
          <w:tab w:leader="none" w:pos="1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provide for the assumption of the Company’s obligations under this Indenture and the Notes pursuant to, and in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Article 6</w:t>
      </w:r>
      <w:r>
        <w:rPr>
          <w:rFonts w:ascii="Arial" w:cs="Arial" w:eastAsia="Arial" w:hAnsi="Arial"/>
          <w:sz w:val="18"/>
          <w:szCs w:val="18"/>
          <w:color w:val="auto"/>
        </w:rPr>
        <w:t>;</w:t>
      </w:r>
    </w:p>
    <w:p>
      <w:pPr>
        <w:spacing w:after="0" w:line="206" w:lineRule="exact"/>
        <w:rPr>
          <w:rFonts w:ascii="Arial" w:cs="Arial" w:eastAsia="Arial" w:hAnsi="Arial"/>
          <w:sz w:val="16"/>
          <w:szCs w:val="16"/>
          <w:color w:val="auto"/>
        </w:rPr>
      </w:pPr>
    </w:p>
    <w:p>
      <w:pPr>
        <w:ind w:left="1620" w:hanging="964"/>
        <w:spacing w:after="0"/>
        <w:tabs>
          <w:tab w:leader="none" w:pos="1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enter into supplemental indentures pursuant to, and in accordance with,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in connection with a Common Stock 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40" w:hanging="111"/>
        <w:spacing w:after="0"/>
        <w:tabs>
          <w:tab w:leader="none" w:pos="5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56"/>
        <w:spacing w:after="0" w:line="259" w:lineRule="auto"/>
        <w:tabs>
          <w:tab w:leader="none" w:pos="16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irrevocably elect or eliminate any Settlement Method or Specified Dollar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(1) no such election or elimination will affect any Settlement Method theretofore elected (or deemed to be elected) with respect to any Note pursuant to </w:t>
      </w:r>
      <w:r>
        <w:rPr>
          <w:rFonts w:ascii="Arial" w:cs="Arial" w:eastAsia="Arial" w:hAnsi="Arial"/>
          <w:sz w:val="18"/>
          <w:szCs w:val="18"/>
          <w:b w:val="1"/>
          <w:bCs w:val="1"/>
          <w:color w:val="auto"/>
        </w:rPr>
        <w:t>Section 5.03(A)</w:t>
      </w:r>
      <w:r>
        <w:rPr>
          <w:rFonts w:ascii="Arial" w:cs="Arial" w:eastAsia="Arial" w:hAnsi="Arial"/>
          <w:sz w:val="18"/>
          <w:szCs w:val="18"/>
          <w:color w:val="auto"/>
        </w:rPr>
        <w:t>; and (2) such irrevocable election or elimination can in no event result in a Specified Dollar Amount of less than $1,000 per $1,000 principal amount of Notes applying to the conversion of any Note.</w:t>
      </w:r>
    </w:p>
    <w:p>
      <w:pPr>
        <w:spacing w:after="0" w:line="186" w:lineRule="exact"/>
        <w:rPr>
          <w:rFonts w:ascii="Arial" w:cs="Arial" w:eastAsia="Arial" w:hAnsi="Arial"/>
          <w:sz w:val="18"/>
          <w:szCs w:val="18"/>
          <w:color w:val="auto"/>
        </w:rPr>
      </w:pPr>
    </w:p>
    <w:p>
      <w:pPr>
        <w:ind w:left="1440" w:hanging="784"/>
        <w:spacing w:after="0"/>
        <w:tabs>
          <w:tab w:leader="none" w:pos="1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evidence or provide for the acceptance of the appointment, under this Indenture, of a successor Trustee;</w:t>
      </w:r>
    </w:p>
    <w:p>
      <w:pPr>
        <w:spacing w:after="0" w:line="225" w:lineRule="exact"/>
        <w:rPr>
          <w:rFonts w:ascii="Arial" w:cs="Arial" w:eastAsia="Arial" w:hAnsi="Arial"/>
          <w:sz w:val="18"/>
          <w:szCs w:val="18"/>
          <w:color w:val="auto"/>
        </w:rPr>
      </w:pPr>
    </w:p>
    <w:p>
      <w:pPr>
        <w:ind w:right="20" w:firstLine="656"/>
        <w:spacing w:after="0" w:line="277" w:lineRule="auto"/>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conform the provisions of this Indenture and the Notes to the “Description of Notes” section of the Company’s Preliminary Offering Memorandum, dated June 14, 2021, as supplemented by the related Pricing Term Sheet, dated June 15, 2021;</w:t>
      </w:r>
    </w:p>
    <w:p>
      <w:pPr>
        <w:spacing w:after="0" w:line="166" w:lineRule="exact"/>
        <w:rPr>
          <w:rFonts w:ascii="Arial" w:cs="Arial" w:eastAsia="Arial" w:hAnsi="Arial"/>
          <w:sz w:val="18"/>
          <w:szCs w:val="18"/>
          <w:color w:val="auto"/>
        </w:rPr>
      </w:pPr>
    </w:p>
    <w:p>
      <w:pPr>
        <w:ind w:left="1440" w:hanging="784"/>
        <w:spacing w:after="0"/>
        <w:tabs>
          <w:tab w:leader="none" w:pos="1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provide for or confirm the issuance of additional Notes pursuant to </w:t>
      </w:r>
      <w:r>
        <w:rPr>
          <w:rFonts w:ascii="Arial" w:cs="Arial" w:eastAsia="Arial" w:hAnsi="Arial"/>
          <w:sz w:val="18"/>
          <w:szCs w:val="18"/>
          <w:b w:val="1"/>
          <w:bCs w:val="1"/>
          <w:color w:val="auto"/>
        </w:rPr>
        <w:t>Section 2.03(B)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656"/>
        <w:spacing w:after="0" w:line="277" w:lineRule="auto"/>
        <w:tabs>
          <w:tab w:leader="none" w:pos="140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comply with any requirement of the SEC in connection with any qualification of this Indenture or any supplemental indenture under the Trust Indenture Act, as then in effect; or</w:t>
      </w:r>
    </w:p>
    <w:p>
      <w:pPr>
        <w:spacing w:after="0" w:line="170" w:lineRule="exact"/>
        <w:rPr>
          <w:rFonts w:ascii="Arial" w:cs="Arial" w:eastAsia="Arial" w:hAnsi="Arial"/>
          <w:sz w:val="18"/>
          <w:szCs w:val="18"/>
          <w:color w:val="auto"/>
        </w:rPr>
      </w:pPr>
    </w:p>
    <w:p>
      <w:pPr>
        <w:ind w:right="20" w:firstLine="656"/>
        <w:spacing w:after="0" w:line="277" w:lineRule="auto"/>
        <w:tabs>
          <w:tab w:leader="none" w:pos="15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any other change to this Indenture or the Notes that does not, individually or in the aggregate with all other such changes, adversely affect the rights of the Holders, as such, in any material respect.</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8.02.</w:t>
        <w:tab/>
        <w:t>W</w:t>
      </w:r>
      <w:r>
        <w:rPr>
          <w:rFonts w:ascii="Arial" w:cs="Arial" w:eastAsia="Arial" w:hAnsi="Arial"/>
          <w:sz w:val="12"/>
          <w:szCs w:val="12"/>
          <w:b w:val="1"/>
          <w:bCs w:val="1"/>
          <w:color w:val="auto"/>
        </w:rPr>
        <w:t>ITH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58" w:lineRule="auto"/>
        <w:tabs>
          <w:tab w:leader="none" w:pos="1343"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8.01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7.05</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immediately following sentence, the Company and the Trustee may,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without the consent of each affected Holder, no amendment or supplement to this Indenture or the Notes, or waiver of any provision of this Indenture or the Notes, may:</w:t>
      </w:r>
    </w:p>
    <w:p>
      <w:pPr>
        <w:spacing w:after="0" w:line="187" w:lineRule="exact"/>
        <w:rPr>
          <w:rFonts w:ascii="Arial" w:cs="Arial" w:eastAsia="Arial" w:hAnsi="Arial"/>
          <w:sz w:val="18"/>
          <w:szCs w:val="18"/>
          <w:color w:val="auto"/>
        </w:rPr>
      </w:pPr>
    </w:p>
    <w:p>
      <w:pPr>
        <w:ind w:left="2460" w:hanging="940"/>
        <w:spacing w:after="0"/>
        <w:tabs>
          <w:tab w:leader="none" w:pos="24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reduce the principal, or extend the stated maturity, of any Note;</w:t>
      </w:r>
    </w:p>
    <w:p>
      <w:pPr>
        <w:spacing w:after="0" w:line="225" w:lineRule="exact"/>
        <w:rPr>
          <w:rFonts w:ascii="Arial" w:cs="Arial" w:eastAsia="Arial" w:hAnsi="Arial"/>
          <w:sz w:val="18"/>
          <w:szCs w:val="18"/>
          <w:color w:val="auto"/>
        </w:rPr>
      </w:pPr>
    </w:p>
    <w:p>
      <w:pPr>
        <w:ind w:left="980" w:firstLine="540"/>
        <w:spacing w:after="0" w:line="277" w:lineRule="auto"/>
        <w:tabs>
          <w:tab w:leader="none" w:pos="247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reduce the Redemption Price or Fundamental Change Repurchase Price for any Note or change the times at which, or the circumstances under which, the Notes will be redeemed or repurchased by the Company;</w:t>
      </w:r>
    </w:p>
    <w:p>
      <w:pPr>
        <w:spacing w:after="0" w:line="170" w:lineRule="exact"/>
        <w:rPr>
          <w:rFonts w:ascii="Arial" w:cs="Arial" w:eastAsia="Arial" w:hAnsi="Arial"/>
          <w:sz w:val="18"/>
          <w:szCs w:val="18"/>
          <w:color w:val="auto"/>
        </w:rPr>
      </w:pPr>
    </w:p>
    <w:p>
      <w:pPr>
        <w:ind w:left="2460" w:hanging="940"/>
        <w:spacing w:after="0"/>
        <w:tabs>
          <w:tab w:leader="none" w:pos="24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reduce the rate, or extend the time for the payment, of interest on any Note;</w:t>
      </w:r>
    </w:p>
    <w:p>
      <w:pPr>
        <w:spacing w:after="0" w:line="225" w:lineRule="exact"/>
        <w:rPr>
          <w:rFonts w:ascii="Arial" w:cs="Arial" w:eastAsia="Arial" w:hAnsi="Arial"/>
          <w:sz w:val="18"/>
          <w:szCs w:val="18"/>
          <w:color w:val="auto"/>
        </w:rPr>
      </w:pPr>
    </w:p>
    <w:p>
      <w:pPr>
        <w:ind w:left="2400" w:hanging="880"/>
        <w:spacing w:after="0"/>
        <w:tabs>
          <w:tab w:leader="none" w:pos="24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w:t>
      </w:r>
    </w:p>
    <w:p>
      <w:pPr>
        <w:spacing w:after="0" w:line="221" w:lineRule="exact"/>
        <w:rPr>
          <w:rFonts w:ascii="Arial" w:cs="Arial" w:eastAsia="Arial" w:hAnsi="Arial"/>
          <w:sz w:val="18"/>
          <w:szCs w:val="18"/>
          <w:color w:val="auto"/>
        </w:rPr>
      </w:pPr>
    </w:p>
    <w:p>
      <w:pPr>
        <w:ind w:left="2400" w:hanging="880"/>
        <w:spacing w:after="0"/>
        <w:tabs>
          <w:tab w:leader="none" w:pos="24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impair the rights of any Holder set forth in </w:t>
      </w:r>
      <w:r>
        <w:rPr>
          <w:rFonts w:ascii="Arial" w:cs="Arial" w:eastAsia="Arial" w:hAnsi="Arial"/>
          <w:sz w:val="18"/>
          <w:szCs w:val="18"/>
          <w:b w:val="1"/>
          <w:bCs w:val="1"/>
          <w:color w:val="auto"/>
        </w:rPr>
        <w:t>Section 7.08</w:t>
      </w:r>
      <w:r>
        <w:rPr>
          <w:rFonts w:ascii="Arial" w:cs="Arial" w:eastAsia="Arial" w:hAnsi="Arial"/>
          <w:sz w:val="18"/>
          <w:szCs w:val="18"/>
          <w:color w:val="auto"/>
        </w:rPr>
        <w:t xml:space="preserve"> (as such section is in effect on the Issue Date);</w:t>
      </w:r>
    </w:p>
    <w:p>
      <w:pPr>
        <w:spacing w:after="0" w:line="229" w:lineRule="exact"/>
        <w:rPr>
          <w:rFonts w:ascii="Arial" w:cs="Arial" w:eastAsia="Arial" w:hAnsi="Arial"/>
          <w:sz w:val="18"/>
          <w:szCs w:val="18"/>
          <w:color w:val="auto"/>
        </w:rPr>
      </w:pPr>
    </w:p>
    <w:p>
      <w:pPr>
        <w:ind w:left="2400" w:hanging="880"/>
        <w:spacing w:after="0"/>
        <w:tabs>
          <w:tab w:leader="none" w:pos="24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420" w:hanging="900"/>
        <w:spacing w:after="0"/>
        <w:tabs>
          <w:tab w:leader="none" w:pos="24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make any note payable in money, or at a place of payment, other than that stated in this Indenture or the Note;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left="2240" w:hanging="720"/>
        <w:spacing w:after="0"/>
        <w:tabs>
          <w:tab w:leader="none" w:pos="22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reduce the amount of Notes whose Holders must consent to any amendment, supplement, waiver or other modification; or</w:t>
      </w:r>
    </w:p>
    <w:p>
      <w:pPr>
        <w:spacing w:after="0" w:line="248" w:lineRule="exact"/>
        <w:rPr>
          <w:rFonts w:ascii="Arial" w:cs="Arial" w:eastAsia="Arial" w:hAnsi="Arial"/>
          <w:sz w:val="16"/>
          <w:szCs w:val="16"/>
          <w:color w:val="auto"/>
        </w:rPr>
      </w:pPr>
    </w:p>
    <w:p>
      <w:pPr>
        <w:ind w:left="980" w:firstLine="540"/>
        <w:spacing w:after="0" w:line="277" w:lineRule="auto"/>
        <w:tabs>
          <w:tab w:leader="none" w:pos="24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direct or indirect change to any amendment, supplement, waiver or modification provision of this Indenture or the Notes that requires the consent of each affected Holder.</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For the avoidance of doubt, pursuant to </w:t>
      </w:r>
      <w:r>
        <w:rPr>
          <w:rFonts w:ascii="Arial" w:cs="Arial" w:eastAsia="Arial" w:hAnsi="Arial"/>
          <w:sz w:val="17"/>
          <w:szCs w:val="17"/>
          <w:b w:val="1"/>
          <w:bCs w:val="1"/>
          <w:color w:val="auto"/>
        </w:rPr>
        <w:t>clauses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(iii)</w:t>
      </w:r>
      <w:r>
        <w:rPr>
          <w:rFonts w:ascii="Arial" w:cs="Arial" w:eastAsia="Arial" w:hAnsi="Arial"/>
          <w:sz w:val="17"/>
          <w:szCs w:val="17"/>
          <w:color w:val="auto"/>
        </w:rPr>
        <w:t xml:space="preserve"> and </w:t>
      </w:r>
      <w:r>
        <w:rPr>
          <w:rFonts w:ascii="Arial" w:cs="Arial" w:eastAsia="Arial" w:hAnsi="Arial"/>
          <w:sz w:val="17"/>
          <w:szCs w:val="17"/>
          <w:b w:val="1"/>
          <w:bCs w:val="1"/>
          <w:color w:val="auto"/>
        </w:rPr>
        <w:t>(iv)</w:t>
      </w:r>
      <w:r>
        <w:rPr>
          <w:rFonts w:ascii="Arial" w:cs="Arial" w:eastAsia="Arial" w:hAnsi="Arial"/>
          <w:sz w:val="17"/>
          <w:szCs w:val="17"/>
          <w:color w:val="auto"/>
        </w:rPr>
        <w:t xml:space="preserve"> of this </w:t>
      </w:r>
      <w:r>
        <w:rPr>
          <w:rFonts w:ascii="Arial" w:cs="Arial" w:eastAsia="Arial" w:hAnsi="Arial"/>
          <w:sz w:val="17"/>
          <w:szCs w:val="17"/>
          <w:b w:val="1"/>
          <w:bCs w:val="1"/>
          <w:color w:val="auto"/>
        </w:rPr>
        <w:t>Section 8.02(A)</w:t>
      </w:r>
      <w:r>
        <w:rPr>
          <w:rFonts w:ascii="Arial" w:cs="Arial" w:eastAsia="Arial" w:hAnsi="Arial"/>
          <w:sz w:val="17"/>
          <w:szCs w:val="17"/>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165" w:lineRule="exact"/>
        <w:rPr>
          <w:sz w:val="20"/>
          <w:szCs w:val="20"/>
          <w:color w:val="auto"/>
        </w:rPr>
      </w:pPr>
    </w:p>
    <w:p>
      <w:pPr>
        <w:ind w:firstLine="656"/>
        <w:spacing w:after="0" w:line="282" w:lineRule="auto"/>
        <w:tabs>
          <w:tab w:leader="none" w:pos="17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Holders Need Not Approve the Particular Form of any Amendment</w:t>
      </w:r>
      <w:r>
        <w:rPr>
          <w:rFonts w:ascii="Arial" w:cs="Arial" w:eastAsia="Arial" w:hAnsi="Arial"/>
          <w:sz w:val="18"/>
          <w:szCs w:val="18"/>
          <w:color w:val="auto"/>
        </w:rPr>
        <w:t>. A consent of any Holder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8.02</w:t>
      </w:r>
      <w:r>
        <w:rPr>
          <w:rFonts w:ascii="Arial" w:cs="Arial" w:eastAsia="Arial" w:hAnsi="Arial"/>
          <w:sz w:val="18"/>
          <w:szCs w:val="18"/>
          <w:i w:val="1"/>
          <w:iCs w:val="1"/>
          <w:color w:val="auto"/>
        </w:rPr>
        <w:t xml:space="preserve"> </w:t>
      </w:r>
      <w:r>
        <w:rPr>
          <w:rFonts w:ascii="Arial" w:cs="Arial" w:eastAsia="Arial" w:hAnsi="Arial"/>
          <w:sz w:val="18"/>
          <w:szCs w:val="18"/>
          <w:color w:val="auto"/>
        </w:rPr>
        <w:t>need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only the substance, and not necessarily the particular form, of the proposed amendment, supplement or waiver.</w:t>
      </w:r>
    </w:p>
    <w:p>
      <w:pPr>
        <w:spacing w:after="0" w:line="16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8.03.</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UPPLEMENTS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AIVERS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Promptly after any amendment, supplement or waiver pursuant to </w:t>
      </w:r>
      <w:r>
        <w:rPr>
          <w:rFonts w:ascii="Arial" w:cs="Arial" w:eastAsia="Arial" w:hAnsi="Arial"/>
          <w:sz w:val="16"/>
          <w:szCs w:val="16"/>
          <w:b w:val="1"/>
          <w:bCs w:val="1"/>
          <w:color w:val="auto"/>
        </w:rPr>
        <w:t>Section 8.01</w:t>
      </w:r>
      <w:r>
        <w:rPr>
          <w:rFonts w:ascii="Arial" w:cs="Arial" w:eastAsia="Arial" w:hAnsi="Arial"/>
          <w:sz w:val="16"/>
          <w:szCs w:val="16"/>
          <w:color w:val="auto"/>
        </w:rPr>
        <w:t xml:space="preserve"> or </w:t>
      </w:r>
      <w:r>
        <w:rPr>
          <w:rFonts w:ascii="Arial" w:cs="Arial" w:eastAsia="Arial" w:hAnsi="Arial"/>
          <w:sz w:val="16"/>
          <w:szCs w:val="16"/>
          <w:b w:val="1"/>
          <w:bCs w:val="1"/>
          <w:color w:val="auto"/>
        </w:rPr>
        <w:t>8.02</w:t>
      </w:r>
      <w:r>
        <w:rPr>
          <w:rFonts w:ascii="Arial" w:cs="Arial" w:eastAsia="Arial" w:hAnsi="Arial"/>
          <w:sz w:val="16"/>
          <w:szCs w:val="16"/>
          <w:color w:val="auto"/>
        </w:rPr>
        <w:t xml:space="preserve"> becomes effective, the Company will send to the Holders and the Trustee notice that (A) describes the substance of such amendment, supplement or waiver in reasonable detail and (B) states the effective date thereof. The failure to send, or the existence of any defect in, such notice will not impair or affect the validity of such amendment, supplement or waiver.</w:t>
      </w:r>
    </w:p>
    <w:p>
      <w:pPr>
        <w:spacing w:after="0" w:line="14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8.04.</w:t>
        <w:tab/>
        <w:t>R</w:t>
      </w:r>
      <w:r>
        <w:rPr>
          <w:rFonts w:ascii="Arial" w:cs="Arial" w:eastAsia="Arial" w:hAnsi="Arial"/>
          <w:sz w:val="12"/>
          <w:szCs w:val="12"/>
          <w:b w:val="1"/>
          <w:bCs w:val="1"/>
          <w:color w:val="auto"/>
        </w:rPr>
        <w:t>EVOCATION</w:t>
      </w:r>
      <w:r>
        <w:rPr>
          <w:rFonts w:ascii="Arial" w:cs="Arial" w:eastAsia="Arial" w:hAnsi="Arial"/>
          <w:sz w:val="18"/>
          <w:szCs w:val="18"/>
          <w:b w:val="1"/>
          <w:bCs w:val="1"/>
          <w:color w:val="auto"/>
        </w:rPr>
        <w:t>, E</w:t>
      </w:r>
      <w:r>
        <w:rPr>
          <w:rFonts w:ascii="Arial" w:cs="Arial" w:eastAsia="Arial" w:hAnsi="Arial"/>
          <w:sz w:val="12"/>
          <w:szCs w:val="12"/>
          <w:b w:val="1"/>
          <w:bCs w:val="1"/>
          <w:color w:val="auto"/>
        </w:rPr>
        <w:t>FFECT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OLICITATION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ECORD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752"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The consent of a Holder of a Note to an amendment, supplement or waiver will bind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constitute the consent of) each subsequent Holder of any Note to the extent the same evidences any portion of the same indebtedness as the consenting Holder’s Note, subject to the right of any Holder of a Note to revoke (if not prohibited pursuant to </w:t>
      </w:r>
      <w:r>
        <w:rPr>
          <w:rFonts w:ascii="Arial" w:cs="Arial" w:eastAsia="Arial" w:hAnsi="Arial"/>
          <w:sz w:val="17"/>
          <w:szCs w:val="17"/>
          <w:b w:val="1"/>
          <w:bCs w:val="1"/>
          <w:color w:val="auto"/>
        </w:rPr>
        <w:t>Section 8.04(B)</w:t>
      </w:r>
      <w:r>
        <w:rPr>
          <w:rFonts w:ascii="Arial" w:cs="Arial" w:eastAsia="Arial" w:hAnsi="Arial"/>
          <w:sz w:val="17"/>
          <w:szCs w:val="17"/>
          <w:color w:val="auto"/>
        </w:rPr>
        <w:t>) any such consent with respect to such Note by delivering notice of revocation to the Trustee before the time such amendment, supplement or waiver becomes effective.</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571"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Special Record Dates</w:t>
      </w:r>
      <w:r>
        <w:rPr>
          <w:rFonts w:ascii="Arial" w:cs="Arial" w:eastAsia="Arial" w:hAnsi="Arial"/>
          <w:sz w:val="18"/>
          <w:szCs w:val="18"/>
          <w:color w:val="auto"/>
        </w:rPr>
        <w:t>. The Company may, but is not required to, fix a record date for the purpose of determining the Holders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consent or take any other action in connection with any amendment, supplement or waiver pursuant to this </w:t>
      </w:r>
      <w:r>
        <w:rPr>
          <w:rFonts w:ascii="Arial" w:cs="Arial" w:eastAsia="Arial" w:hAnsi="Arial"/>
          <w:sz w:val="18"/>
          <w:szCs w:val="18"/>
          <w:b w:val="1"/>
          <w:bCs w:val="1"/>
          <w:color w:val="auto"/>
        </w:rPr>
        <w:t>Article 8</w:t>
      </w:r>
      <w:r>
        <w:rPr>
          <w:rFonts w:ascii="Arial" w:cs="Arial" w:eastAsia="Arial" w:hAnsi="Arial"/>
          <w:sz w:val="18"/>
          <w:szCs w:val="18"/>
          <w:color w:val="auto"/>
        </w:rPr>
        <w:t xml:space="preserve">. If a record date is fixed, then, notwithstanding anything to the contrary in </w:t>
      </w:r>
      <w:r>
        <w:rPr>
          <w:rFonts w:ascii="Arial" w:cs="Arial" w:eastAsia="Arial" w:hAnsi="Arial"/>
          <w:sz w:val="18"/>
          <w:szCs w:val="18"/>
          <w:b w:val="1"/>
          <w:bCs w:val="1"/>
          <w:color w:val="auto"/>
        </w:rPr>
        <w:t>Section 8.04(A)</w:t>
      </w:r>
      <w:r>
        <w:rPr>
          <w:rFonts w:ascii="Arial" w:cs="Arial" w:eastAsia="Arial" w:hAnsi="Arial"/>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consent will be valid or effective for more than one hundred and twenty (120) calendar days after such record date.</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hanging="111"/>
        <w:spacing w:after="0"/>
        <w:tabs>
          <w:tab w:leader="none" w:pos="5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firstLine="656"/>
        <w:spacing w:after="0" w:line="277" w:lineRule="auto"/>
        <w:tabs>
          <w:tab w:leader="none" w:pos="1598"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Solicitation of Consents</w:t>
      </w:r>
      <w:r>
        <w:rPr>
          <w:rFonts w:ascii="Arial" w:cs="Arial" w:eastAsia="Arial" w:hAnsi="Arial"/>
          <w:sz w:val="18"/>
          <w:szCs w:val="18"/>
          <w:color w:val="auto"/>
        </w:rPr>
        <w:t>. For the avoidance of doubt, each reference in this Indenture or the Notes to the consent of a Holder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include any such consent obtained in connection with a repurchase of, or tender or exchange offer for, any Notes.</w:t>
      </w:r>
    </w:p>
    <w:p>
      <w:pPr>
        <w:spacing w:after="0" w:line="166" w:lineRule="exact"/>
        <w:rPr>
          <w:rFonts w:ascii="Arial" w:cs="Arial" w:eastAsia="Arial" w:hAnsi="Arial"/>
          <w:sz w:val="18"/>
          <w:szCs w:val="18"/>
          <w:color w:val="auto"/>
        </w:rPr>
      </w:pPr>
    </w:p>
    <w:p>
      <w:pPr>
        <w:jc w:val="both"/>
        <w:ind w:firstLine="656"/>
        <w:spacing w:after="0" w:line="266" w:lineRule="auto"/>
        <w:tabs>
          <w:tab w:leader="none" w:pos="18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Effectiveness and Binding Effect</w:t>
      </w:r>
      <w:r>
        <w:rPr>
          <w:rFonts w:ascii="Arial" w:cs="Arial" w:eastAsia="Arial" w:hAnsi="Arial"/>
          <w:sz w:val="18"/>
          <w:szCs w:val="18"/>
          <w:color w:val="auto"/>
        </w:rPr>
        <w:t>. Each amendment, supplement or waiver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8</w:t>
      </w:r>
      <w:r>
        <w:rPr>
          <w:rFonts w:ascii="Arial" w:cs="Arial" w:eastAsia="Arial" w:hAnsi="Arial"/>
          <w:sz w:val="18"/>
          <w:szCs w:val="18"/>
          <w:i w:val="1"/>
          <w:iCs w:val="1"/>
          <w:color w:val="auto"/>
        </w:rPr>
        <w:t xml:space="preserve"> </w:t>
      </w:r>
      <w:r>
        <w:rPr>
          <w:rFonts w:ascii="Arial" w:cs="Arial" w:eastAsia="Arial" w:hAnsi="Arial"/>
          <w:sz w:val="18"/>
          <w:szCs w:val="18"/>
          <w:color w:val="auto"/>
        </w:rPr>
        <w:t>will become effective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and, when it becomes effective with respect to any Note (or any portion thereof), will thereafter bind every Holder of such Note (or such portion).</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8.05.</w:t>
        <w:tab/>
        <w:t>N</w:t>
      </w:r>
      <w:r>
        <w:rPr>
          <w:rFonts w:ascii="Arial" w:cs="Arial" w:eastAsia="Arial" w:hAnsi="Arial"/>
          <w:sz w:val="12"/>
          <w:szCs w:val="12"/>
          <w:b w:val="1"/>
          <w:bCs w:val="1"/>
          <w:color w:val="auto"/>
        </w:rPr>
        <w:t>OTATIONS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a new Note that reflects the changed terms. The failure to make any appropriate notation or issue a new Note pursuant to this </w:t>
      </w:r>
      <w:r>
        <w:rPr>
          <w:rFonts w:ascii="Arial" w:cs="Arial" w:eastAsia="Arial" w:hAnsi="Arial"/>
          <w:sz w:val="17"/>
          <w:szCs w:val="17"/>
          <w:b w:val="1"/>
          <w:bCs w:val="1"/>
          <w:color w:val="auto"/>
        </w:rPr>
        <w:t>Section 8.05</w:t>
      </w:r>
      <w:r>
        <w:rPr>
          <w:rFonts w:ascii="Arial" w:cs="Arial" w:eastAsia="Arial" w:hAnsi="Arial"/>
          <w:sz w:val="17"/>
          <w:szCs w:val="17"/>
          <w:color w:val="auto"/>
        </w:rPr>
        <w:t xml:space="preserve"> will not impair or affect the validity of such amendment, supplement or waiver.</w:t>
      </w:r>
    </w:p>
    <w:p>
      <w:pPr>
        <w:spacing w:after="0" w:line="17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8.06.</w:t>
        <w:tab/>
        <w:t>T</w:t>
      </w:r>
      <w:r>
        <w:rPr>
          <w:rFonts w:ascii="Arial" w:cs="Arial" w:eastAsia="Arial" w:hAnsi="Arial"/>
          <w:sz w:val="12"/>
          <w:szCs w:val="12"/>
          <w:b w:val="1"/>
          <w:bCs w:val="1"/>
          <w:color w:val="auto"/>
        </w:rPr>
        <w:t>RUSTEE 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UPPLEMENTAL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NDENTURES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The Trustee will execute and deliver any amendment or supplemental indenture authorized pursuant to this </w:t>
      </w:r>
      <w:r>
        <w:rPr>
          <w:rFonts w:ascii="Arial" w:cs="Arial" w:eastAsia="Arial" w:hAnsi="Arial"/>
          <w:sz w:val="16"/>
          <w:szCs w:val="16"/>
          <w:b w:val="1"/>
          <w:bCs w:val="1"/>
          <w:color w:val="auto"/>
        </w:rPr>
        <w:t>Article 8</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Arial" w:cs="Arial" w:eastAsia="Arial" w:hAnsi="Arial"/>
          <w:sz w:val="16"/>
          <w:szCs w:val="16"/>
          <w:b w:val="1"/>
          <w:bCs w:val="1"/>
          <w:color w:val="auto"/>
        </w:rPr>
        <w:t>Sections 10.01</w:t>
      </w:r>
      <w:r>
        <w:rPr>
          <w:rFonts w:ascii="Arial" w:cs="Arial" w:eastAsia="Arial" w:hAnsi="Arial"/>
          <w:sz w:val="16"/>
          <w:szCs w:val="16"/>
          <w:color w:val="auto"/>
        </w:rPr>
        <w:t xml:space="preserve"> and </w:t>
      </w:r>
      <w:r>
        <w:rPr>
          <w:rFonts w:ascii="Arial" w:cs="Arial" w:eastAsia="Arial" w:hAnsi="Arial"/>
          <w:sz w:val="16"/>
          <w:szCs w:val="16"/>
          <w:b w:val="1"/>
          <w:bCs w:val="1"/>
          <w:color w:val="auto"/>
        </w:rPr>
        <w:t>10.02</w:t>
      </w:r>
      <w:r>
        <w:rPr>
          <w:rFonts w:ascii="Arial" w:cs="Arial" w:eastAsia="Arial" w:hAnsi="Arial"/>
          <w:sz w:val="16"/>
          <w:szCs w:val="16"/>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160" w:lineRule="exact"/>
        <w:rPr>
          <w:sz w:val="20"/>
          <w:szCs w:val="20"/>
          <w:color w:val="auto"/>
        </w:rPr>
      </w:pPr>
    </w:p>
    <w:p>
      <w:pPr>
        <w:ind w:left="3620"/>
        <w:spacing w:after="0"/>
        <w:tabs>
          <w:tab w:leader="none" w:pos="472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SATISFACTION AND DISCHARGE</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9.01.</w:t>
        <w:tab/>
        <w:t>T</w:t>
      </w:r>
      <w:r>
        <w:rPr>
          <w:rFonts w:ascii="Arial" w:cs="Arial" w:eastAsia="Arial" w:hAnsi="Arial"/>
          <w:sz w:val="12"/>
          <w:szCs w:val="12"/>
          <w:b w:val="1"/>
          <w:bCs w:val="1"/>
          <w:color w:val="auto"/>
        </w:rPr>
        <w:t>ERMINATION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jc w:val="both"/>
        <w:ind w:firstLine="656"/>
        <w:spacing w:after="0" w:line="266" w:lineRule="auto"/>
        <w:tabs>
          <w:tab w:leader="none" w:pos="15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all Notes then outstanding (other than Notes replaced pursuant to </w:t>
      </w:r>
      <w:r>
        <w:rPr>
          <w:rFonts w:ascii="Arial" w:cs="Arial" w:eastAsia="Arial" w:hAnsi="Arial"/>
          <w:sz w:val="18"/>
          <w:szCs w:val="18"/>
          <w:b w:val="1"/>
          <w:bCs w:val="1"/>
          <w:color w:val="auto"/>
        </w:rPr>
        <w:t>Section 2.13</w:t>
      </w:r>
      <w:r>
        <w:rPr>
          <w:rFonts w:ascii="Arial" w:cs="Arial" w:eastAsia="Arial" w:hAnsi="Arial"/>
          <w:sz w:val="18"/>
          <w:szCs w:val="18"/>
          <w:color w:val="auto"/>
        </w:rPr>
        <w:t>) have (i) been delivered to the Trustee for cancellation; or (ii) become due and payable (whether on a Redemption Date, Fundamental Change Repurchase Date, the Maturity Date, upon conversion or otherwise) for an amount of cash or Conversion Consideration, as applicable, that has been fixed;</w:t>
      </w:r>
    </w:p>
    <w:p>
      <w:pPr>
        <w:spacing w:after="0" w:line="395" w:lineRule="exact"/>
        <w:rPr>
          <w:rFonts w:ascii="Arial" w:cs="Arial" w:eastAsia="Arial" w:hAnsi="Arial"/>
          <w:sz w:val="18"/>
          <w:szCs w:val="18"/>
          <w:color w:val="auto"/>
        </w:rPr>
      </w:pPr>
    </w:p>
    <w:p>
      <w:pPr>
        <w:ind w:left="5540" w:hanging="111"/>
        <w:spacing w:after="0"/>
        <w:tabs>
          <w:tab w:leader="none" w:pos="5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56"/>
        <w:spacing w:after="0" w:line="259" w:lineRule="auto"/>
        <w:tabs>
          <w:tab w:leader="none" w:pos="157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Arial" w:cs="Arial" w:eastAsia="Arial" w:hAnsi="Arial"/>
          <w:sz w:val="18"/>
          <w:szCs w:val="18"/>
          <w:b w:val="1"/>
          <w:bCs w:val="1"/>
          <w:color w:val="auto"/>
        </w:rPr>
        <w:t>Section 2.13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has paid all other amounts payable by it under this Indenture; and</w:t>
      </w:r>
    </w:p>
    <w:p>
      <w:pPr>
        <w:spacing w:after="0" w:line="225" w:lineRule="exact"/>
        <w:rPr>
          <w:rFonts w:ascii="Arial" w:cs="Arial" w:eastAsia="Arial" w:hAnsi="Arial"/>
          <w:sz w:val="18"/>
          <w:szCs w:val="18"/>
          <w:color w:val="auto"/>
        </w:rPr>
      </w:pPr>
    </w:p>
    <w:p>
      <w:pPr>
        <w:ind w:firstLine="656"/>
        <w:spacing w:after="0" w:line="277" w:lineRule="auto"/>
        <w:tabs>
          <w:tab w:leader="none" w:pos="148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the conditions precedent to the discharge of this Indenture have been satisfied;</w:t>
      </w:r>
    </w:p>
    <w:p>
      <w:pPr>
        <w:spacing w:after="0" w:line="16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Article 10</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11.01</w:t>
      </w:r>
      <w:r>
        <w:rPr>
          <w:rFonts w:ascii="Arial" w:cs="Arial" w:eastAsia="Arial" w:hAnsi="Arial"/>
          <w:sz w:val="16"/>
          <w:szCs w:val="16"/>
          <w:i w:val="1"/>
          <w:iCs w:val="1"/>
          <w:color w:val="auto"/>
        </w:rPr>
        <w:t xml:space="preserve"> </w:t>
      </w:r>
      <w:r>
        <w:rPr>
          <w:rFonts w:ascii="Arial" w:cs="Arial" w:eastAsia="Arial" w:hAnsi="Arial"/>
          <w:sz w:val="16"/>
          <w:szCs w:val="16"/>
          <w:color w:val="auto"/>
        </w:rPr>
        <w:t>will survive such discharge and, until no Notes remain outstanding,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2.15</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Trustee, the Paying Agent and the Conversion Agent with respect to money or other property deposited with them will survive such discharge.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9.02.</w:t>
        <w:tab/>
        <w:t>R</w:t>
      </w:r>
      <w:r>
        <w:rPr>
          <w:rFonts w:ascii="Arial" w:cs="Arial" w:eastAsia="Arial" w:hAnsi="Arial"/>
          <w:sz w:val="12"/>
          <w:szCs w:val="12"/>
          <w:b w:val="1"/>
          <w:bCs w:val="1"/>
          <w:color w:val="auto"/>
        </w:rPr>
        <w:t>EPAYMENT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8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9.03.</w:t>
        <w:tab/>
        <w:t>R</w:t>
      </w:r>
      <w:r>
        <w:rPr>
          <w:rFonts w:ascii="Arial" w:cs="Arial" w:eastAsia="Arial" w:hAnsi="Arial"/>
          <w:sz w:val="12"/>
          <w:szCs w:val="12"/>
          <w:b w:val="1"/>
          <w:bCs w:val="1"/>
          <w:color w:val="auto"/>
        </w:rPr>
        <w:t>EINSTATEMENT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If the Trustee, the Paying Agent or the Conversion Agent is unable to apply any cash or other property deposited with it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will be rescinded;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center"/>
        <w:spacing w:after="0"/>
        <w:tabs>
          <w:tab w:leader="none" w:pos="30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10.01. D</w:t>
      </w:r>
      <w:r>
        <w:rPr>
          <w:rFonts w:ascii="Arial" w:cs="Arial" w:eastAsia="Arial" w:hAnsi="Arial"/>
          <w:sz w:val="12"/>
          <w:szCs w:val="12"/>
          <w:b w:val="1"/>
          <w:bCs w:val="1"/>
          <w:color w:val="auto"/>
        </w:rPr>
        <w:t>UTIES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7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1620" w:hanging="964"/>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980" w:firstLine="540"/>
        <w:spacing w:after="0" w:line="263" w:lineRule="auto"/>
        <w:tabs>
          <w:tab w:leader="none" w:pos="268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83" w:lineRule="exact"/>
        <w:rPr>
          <w:rFonts w:ascii="Arial" w:cs="Arial" w:eastAsia="Arial" w:hAnsi="Arial"/>
          <w:sz w:val="18"/>
          <w:szCs w:val="18"/>
          <w:color w:val="auto"/>
        </w:rPr>
      </w:pPr>
    </w:p>
    <w:p>
      <w:pPr>
        <w:jc w:val="both"/>
        <w:ind w:left="980" w:firstLine="540"/>
        <w:spacing w:after="0" w:line="257" w:lineRule="auto"/>
        <w:tabs>
          <w:tab w:leader="none" w:pos="258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the absence of bad faith or willful misconduct on its part, the Trustee may conclusively rely, as to the truth of the statements and the correctness of the opinions expressed therein, upon any certificates or opinions that are provided to the Trustee and conform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87" w:lineRule="exact"/>
        <w:rPr>
          <w:rFonts w:ascii="Arial" w:cs="Arial" w:eastAsia="Arial" w:hAnsi="Arial"/>
          <w:sz w:val="18"/>
          <w:szCs w:val="18"/>
          <w:color w:val="auto"/>
        </w:rPr>
      </w:pPr>
    </w:p>
    <w:p>
      <w:pPr>
        <w:ind w:left="1520" w:hanging="864"/>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negligence, bad faith or willful misconduct, except that:</w:t>
      </w:r>
    </w:p>
    <w:p>
      <w:pPr>
        <w:spacing w:after="0" w:line="221" w:lineRule="exact"/>
        <w:rPr>
          <w:rFonts w:ascii="Arial" w:cs="Arial" w:eastAsia="Arial" w:hAnsi="Arial"/>
          <w:sz w:val="18"/>
          <w:szCs w:val="18"/>
          <w:color w:val="auto"/>
        </w:rPr>
      </w:pPr>
    </w:p>
    <w:p>
      <w:pPr>
        <w:ind w:left="2460" w:hanging="940"/>
        <w:spacing w:after="0"/>
        <w:tabs>
          <w:tab w:leader="none" w:pos="24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this paragraph will not limit the effect of </w:t>
      </w:r>
      <w:r>
        <w:rPr>
          <w:rFonts w:ascii="Arial" w:cs="Arial" w:eastAsia="Arial" w:hAnsi="Arial"/>
          <w:sz w:val="18"/>
          <w:szCs w:val="18"/>
          <w:b w:val="1"/>
          <w:bCs w:val="1"/>
          <w:color w:val="auto"/>
        </w:rPr>
        <w:t>Section 10.01(B)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80" w:firstLine="540"/>
        <w:spacing w:after="0" w:line="277" w:lineRule="auto"/>
        <w:tabs>
          <w:tab w:leader="none" w:pos="236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left="980" w:right="20" w:firstLine="540"/>
        <w:spacing w:after="0" w:line="277" w:lineRule="auto"/>
        <w:tabs>
          <w:tab w:leader="none" w:pos="234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the Trustee will not be liable with respect to any action it takes or omits to take in good faith in accordance with a direction received by it pursuant to </w:t>
      </w:r>
      <w:r>
        <w:rPr>
          <w:rFonts w:ascii="Arial" w:cs="Arial" w:eastAsia="Arial" w:hAnsi="Arial"/>
          <w:sz w:val="18"/>
          <w:szCs w:val="18"/>
          <w:b w:val="1"/>
          <w:bCs w:val="1"/>
          <w:color w:val="auto"/>
        </w:rPr>
        <w:t>Section 7.06</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980" w:firstLine="540"/>
        <w:spacing w:after="0" w:line="263" w:lineRule="auto"/>
        <w:tabs>
          <w:tab w:leader="none" w:pos="264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in the performance of any of its duties under this Indenture, or in the exercise of any of its rights or powers, if it has reasonable grounds to believe that repayment of such funds or adequate indemnity against such liability is not reasonably assured to it.</w:t>
      </w:r>
    </w:p>
    <w:p>
      <w:pPr>
        <w:spacing w:after="0" w:line="179" w:lineRule="exact"/>
        <w:rPr>
          <w:rFonts w:ascii="Arial" w:cs="Arial" w:eastAsia="Arial" w:hAnsi="Arial"/>
          <w:sz w:val="18"/>
          <w:szCs w:val="18"/>
          <w:color w:val="auto"/>
        </w:rPr>
      </w:pPr>
    </w:p>
    <w:p>
      <w:pPr>
        <w:ind w:firstLine="656"/>
        <w:spacing w:after="0" w:line="282" w:lineRule="auto"/>
        <w:tabs>
          <w:tab w:leader="none" w:pos="15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Each provision of this Indenture that in any way relates to the Trustee is subject to paragraphs </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and </w:t>
      </w:r>
      <w:r>
        <w:rPr>
          <w:rFonts w:ascii="Arial" w:cs="Arial" w:eastAsia="Arial" w:hAnsi="Arial"/>
          <w:sz w:val="18"/>
          <w:szCs w:val="18"/>
          <w:b w:val="1"/>
          <w:bCs w:val="1"/>
          <w:color w:val="auto"/>
        </w:rPr>
        <w:t>(C)</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10.01</w:t>
      </w:r>
      <w:r>
        <w:rPr>
          <w:rFonts w:ascii="Arial" w:cs="Arial" w:eastAsia="Arial" w:hAnsi="Arial"/>
          <w:sz w:val="18"/>
          <w:szCs w:val="18"/>
          <w:color w:val="auto"/>
        </w:rPr>
        <w:t>, regardless of whether such provision so expressly provides.</w:t>
      </w:r>
    </w:p>
    <w:p>
      <w:pPr>
        <w:spacing w:after="0" w:line="165" w:lineRule="exact"/>
        <w:rPr>
          <w:rFonts w:ascii="Arial" w:cs="Arial" w:eastAsia="Arial" w:hAnsi="Arial"/>
          <w:sz w:val="18"/>
          <w:szCs w:val="18"/>
          <w:color w:val="auto"/>
        </w:rPr>
      </w:pPr>
    </w:p>
    <w:p>
      <w:pPr>
        <w:ind w:right="20" w:firstLine="656"/>
        <w:spacing w:after="0" w:line="277" w:lineRule="auto"/>
        <w:tabs>
          <w:tab w:leader="none" w:pos="15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386" w:lineRule="exact"/>
        <w:rPr>
          <w:rFonts w:ascii="Arial" w:cs="Arial" w:eastAsia="Arial" w:hAnsi="Arial"/>
          <w:sz w:val="18"/>
          <w:szCs w:val="18"/>
          <w:color w:val="auto"/>
        </w:rPr>
      </w:pPr>
    </w:p>
    <w:p>
      <w:pPr>
        <w:ind w:left="5540" w:hanging="111"/>
        <w:spacing w:after="0"/>
        <w:tabs>
          <w:tab w:leader="none" w:pos="554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Section 10.02. R</w:t>
      </w:r>
      <w:r>
        <w:rPr>
          <w:rFonts w:ascii="Arial" w:cs="Arial" w:eastAsia="Arial" w:hAnsi="Arial"/>
          <w:sz w:val="12"/>
          <w:szCs w:val="12"/>
          <w:b w:val="1"/>
          <w:bCs w:val="1"/>
          <w:color w:val="auto"/>
        </w:rPr>
        <w:t>IGHTS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77" w:lineRule="auto"/>
        <w:tabs>
          <w:tab w:leader="none" w:pos="15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61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and may conclusively rely on, an Officer’s Certificate, an Opinion of Counsel or both. The Trustee will not be liable for any action it takes or omits to take in good faith in reliance on such Officer’s Certificate or Opinion of Counsel. The Trustee may consult with counsel; and the advice of such counsel, or any Opinion of Counsel, will constitute full and complete authorization of the Trustee to take or omit to take any action in good faith in reliance thereon without liability.</w:t>
      </w:r>
    </w:p>
    <w:p>
      <w:pPr>
        <w:spacing w:after="0" w:line="186" w:lineRule="exact"/>
        <w:rPr>
          <w:rFonts w:ascii="Arial" w:cs="Arial" w:eastAsia="Arial" w:hAnsi="Arial"/>
          <w:sz w:val="18"/>
          <w:szCs w:val="18"/>
          <w:color w:val="auto"/>
        </w:rPr>
      </w:pPr>
    </w:p>
    <w:p>
      <w:pPr>
        <w:ind w:firstLine="656"/>
        <w:spacing w:after="0" w:line="277" w:lineRule="auto"/>
        <w:tabs>
          <w:tab w:leader="none" w:pos="1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such agent appointed with due care.</w:t>
      </w:r>
    </w:p>
    <w:p>
      <w:pPr>
        <w:spacing w:after="0" w:line="170" w:lineRule="exact"/>
        <w:rPr>
          <w:rFonts w:ascii="Arial" w:cs="Arial" w:eastAsia="Arial" w:hAnsi="Arial"/>
          <w:sz w:val="18"/>
          <w:szCs w:val="18"/>
          <w:color w:val="auto"/>
        </w:rPr>
      </w:pPr>
    </w:p>
    <w:p>
      <w:pPr>
        <w:ind w:firstLine="656"/>
        <w:spacing w:after="0" w:line="277" w:lineRule="auto"/>
        <w:tabs>
          <w:tab w:leader="none" w:pos="157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and that it believes to be authorized or within the rights or powers vested in it by this Indenture.</w:t>
      </w:r>
    </w:p>
    <w:p>
      <w:pPr>
        <w:spacing w:after="0" w:line="170" w:lineRule="exact"/>
        <w:rPr>
          <w:rFonts w:ascii="Arial" w:cs="Arial" w:eastAsia="Arial" w:hAnsi="Arial"/>
          <w:sz w:val="18"/>
          <w:szCs w:val="18"/>
          <w:color w:val="auto"/>
        </w:rPr>
      </w:pPr>
    </w:p>
    <w:p>
      <w:pPr>
        <w:ind w:firstLine="656"/>
        <w:spacing w:after="0" w:line="277" w:lineRule="auto"/>
        <w:tabs>
          <w:tab w:leader="none" w:pos="152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5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need not exercise any rights or powers vested in it by this Indenture at the request or direction of any Holder unless such Holder has offered the Trustee security or indemnity satisfactory to the Trustee against any loss, liability or expense that it may incur in complying with such request or direction.</w:t>
      </w:r>
    </w:p>
    <w:p>
      <w:pPr>
        <w:spacing w:after="0" w:line="183" w:lineRule="exact"/>
        <w:rPr>
          <w:rFonts w:ascii="Arial" w:cs="Arial" w:eastAsia="Arial" w:hAnsi="Arial"/>
          <w:sz w:val="18"/>
          <w:szCs w:val="18"/>
          <w:color w:val="auto"/>
        </w:rPr>
      </w:pPr>
    </w:p>
    <w:p>
      <w:pPr>
        <w:ind w:firstLine="656"/>
        <w:spacing w:after="0" w:line="277" w:lineRule="auto"/>
        <w:tabs>
          <w:tab w:leader="none" w:pos="150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71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the Trustee will incur no liability or additional liability of any kind by reason of such inquiry or investigation.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6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will not be deemed to have notice of any Default or Event of Default unless written notice of any event that is a Default or Event of Default is received from the Company or any Holder by a Responsible Officer of the Trustee at the corporate trust office of the Trustee, and such notice references the Notes and this Indenture;</w:t>
      </w:r>
    </w:p>
    <w:p>
      <w:pPr>
        <w:spacing w:after="0" w:line="183" w:lineRule="exact"/>
        <w:rPr>
          <w:rFonts w:ascii="Arial" w:cs="Arial" w:eastAsia="Arial" w:hAnsi="Arial"/>
          <w:sz w:val="18"/>
          <w:szCs w:val="18"/>
          <w:color w:val="auto"/>
        </w:rPr>
      </w:pPr>
    </w:p>
    <w:p>
      <w:pPr>
        <w:ind w:firstLine="656"/>
        <w:spacing w:after="0" w:line="277" w:lineRule="auto"/>
        <w:tabs>
          <w:tab w:leader="none" w:pos="157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386" w:lineRule="exact"/>
        <w:rPr>
          <w:rFonts w:ascii="Arial" w:cs="Arial" w:eastAsia="Arial" w:hAnsi="Arial"/>
          <w:sz w:val="18"/>
          <w:szCs w:val="18"/>
          <w:color w:val="auto"/>
        </w:rPr>
      </w:pPr>
    </w:p>
    <w:p>
      <w:pPr>
        <w:ind w:left="5540" w:hanging="111"/>
        <w:spacing w:after="0"/>
        <w:tabs>
          <w:tab w:leader="none" w:pos="5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656"/>
        <w:spacing w:after="0" w:line="277" w:lineRule="auto"/>
        <w:tabs>
          <w:tab w:leader="none" w:pos="15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or titles of officers authorized at such time to take specified actions pursuant to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10.03. I</w:t>
      </w:r>
      <w:r>
        <w:rPr>
          <w:rFonts w:ascii="Arial" w:cs="Arial" w:eastAsia="Arial" w:hAnsi="Arial"/>
          <w:sz w:val="12"/>
          <w:szCs w:val="12"/>
          <w:b w:val="1"/>
          <w:bCs w:val="1"/>
          <w:color w:val="auto"/>
        </w:rPr>
        <w:t>NDIVIDUAL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that same rights and duties as the trustee under this </w:t>
      </w:r>
      <w:r>
        <w:rPr>
          <w:rFonts w:ascii="Arial" w:cs="Arial" w:eastAsia="Arial" w:hAnsi="Arial"/>
          <w:sz w:val="18"/>
          <w:szCs w:val="18"/>
          <w:b w:val="1"/>
          <w:bCs w:val="1"/>
          <w:color w:val="auto"/>
        </w:rPr>
        <w:t>Section 10.03</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10.04.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ISCLAIMER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10.05.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If a Default or Event of Default occurs and is continuing of which a Responsible Officer of the Trustee has received written notice, then the Trustee will send Holders a notice of such Default or Event of Default within ninety (90) days after receipt of such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or Event of Default in the payment of the principal of, or interest on, any Note, or a Default in the payment or delivery of the Conversion Consideration due upon conversion of any Note, the Trustee may withhold such notice if and for so long as it in good faith determines that withholding such notice is in the interests of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10.06. C</w:t>
      </w:r>
      <w:r>
        <w:rPr>
          <w:rFonts w:ascii="Arial" w:cs="Arial" w:eastAsia="Arial" w:hAnsi="Arial"/>
          <w:sz w:val="12"/>
          <w:szCs w:val="12"/>
          <w:b w:val="1"/>
          <w:bCs w:val="1"/>
          <w:color w:val="auto"/>
        </w:rPr>
        <w:t>OMPENSATION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NDEMNITY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01" w:lineRule="auto"/>
        <w:tabs>
          <w:tab w:leader="none" w:pos="150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will, from time to time, pay the Trustee reasonable compensation for its acceptance of this Indenture and services under this Indenture.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373" w:lineRule="exact"/>
        <w:rPr>
          <w:rFonts w:ascii="Arial" w:cs="Arial" w:eastAsia="Arial" w:hAnsi="Arial"/>
          <w:sz w:val="16"/>
          <w:szCs w:val="16"/>
          <w:color w:val="auto"/>
        </w:rPr>
      </w:pPr>
    </w:p>
    <w:p>
      <w:pPr>
        <w:ind w:left="5540" w:hanging="111"/>
        <w:spacing w:after="0"/>
        <w:tabs>
          <w:tab w:leader="none" w:pos="5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56"/>
        <w:spacing w:after="0" w:line="287" w:lineRule="auto"/>
        <w:tabs>
          <w:tab w:leader="none" w:pos="184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Company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Arial" w:cs="Arial" w:eastAsia="Arial" w:hAnsi="Arial"/>
          <w:sz w:val="16"/>
          <w:szCs w:val="16"/>
          <w:b w:val="1"/>
          <w:bCs w:val="1"/>
          <w:color w:val="auto"/>
        </w:rPr>
        <w:t>Section 10.06</w:t>
      </w:r>
      <w:r>
        <w:rPr>
          <w:rFonts w:ascii="Arial" w:cs="Arial" w:eastAsia="Arial" w:hAnsi="Arial"/>
          <w:sz w:val="16"/>
          <w:szCs w:val="16"/>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may be attributable to its negligence or willful misconduct. The Trustee will promptly notify the Company of any claim for which it may seek indemnity, but the Trustee’s failure to so notify the Company will not relieve the Company of its obligations under this </w:t>
      </w:r>
      <w:r>
        <w:rPr>
          <w:rFonts w:ascii="Arial" w:cs="Arial" w:eastAsia="Arial" w:hAnsi="Arial"/>
          <w:sz w:val="16"/>
          <w:szCs w:val="16"/>
          <w:b w:val="1"/>
          <w:bCs w:val="1"/>
          <w:color w:val="auto"/>
        </w:rPr>
        <w:t>Section 10.06(B)</w:t>
      </w:r>
      <w:r>
        <w:rPr>
          <w:rFonts w:ascii="Arial" w:cs="Arial" w:eastAsia="Arial" w:hAnsi="Arial"/>
          <w:sz w:val="16"/>
          <w:szCs w:val="16"/>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67" w:lineRule="exact"/>
        <w:rPr>
          <w:rFonts w:ascii="Arial" w:cs="Arial" w:eastAsia="Arial" w:hAnsi="Arial"/>
          <w:sz w:val="16"/>
          <w:szCs w:val="16"/>
          <w:color w:val="auto"/>
        </w:rPr>
      </w:pPr>
    </w:p>
    <w:p>
      <w:pPr>
        <w:ind w:left="1600" w:hanging="944"/>
        <w:spacing w:after="0"/>
        <w:tabs>
          <w:tab w:leader="none" w:pos="16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obligations of the Company under this </w:t>
      </w:r>
      <w:r>
        <w:rPr>
          <w:rFonts w:ascii="Arial" w:cs="Arial" w:eastAsia="Arial" w:hAnsi="Arial"/>
          <w:sz w:val="16"/>
          <w:szCs w:val="16"/>
          <w:b w:val="1"/>
          <w:bCs w:val="1"/>
          <w:color w:val="auto"/>
        </w:rPr>
        <w:t>Section 10.06</w:t>
      </w:r>
      <w:r>
        <w:rPr>
          <w:rFonts w:ascii="Arial" w:cs="Arial" w:eastAsia="Arial" w:hAnsi="Arial"/>
          <w:sz w:val="16"/>
          <w:szCs w:val="16"/>
          <w:color w:val="auto"/>
        </w:rPr>
        <w:t xml:space="preserve"> will survive the resignation or removal of the Trustee and the discharge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Indenture.</w:t>
      </w:r>
    </w:p>
    <w:p>
      <w:pPr>
        <w:spacing w:after="0" w:line="206" w:lineRule="exact"/>
        <w:rPr>
          <w:rFonts w:ascii="Arial" w:cs="Arial" w:eastAsia="Arial" w:hAnsi="Arial"/>
          <w:sz w:val="16"/>
          <w:szCs w:val="16"/>
          <w:color w:val="auto"/>
        </w:rPr>
      </w:pPr>
    </w:p>
    <w:p>
      <w:pPr>
        <w:jc w:val="both"/>
        <w:ind w:firstLine="656"/>
        <w:spacing w:after="0" w:line="266" w:lineRule="auto"/>
        <w:tabs>
          <w:tab w:leader="none" w:pos="16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To secure the Company’s payment obligations in this </w:t>
      </w:r>
      <w:r>
        <w:rPr>
          <w:rFonts w:ascii="Arial" w:cs="Arial" w:eastAsia="Arial" w:hAnsi="Arial"/>
          <w:sz w:val="18"/>
          <w:szCs w:val="18"/>
          <w:b w:val="1"/>
          <w:bCs w:val="1"/>
          <w:color w:val="auto"/>
        </w:rPr>
        <w:t>Section 10.06</w:t>
      </w:r>
      <w:r>
        <w:rPr>
          <w:rFonts w:ascii="Arial" w:cs="Arial" w:eastAsia="Arial" w:hAnsi="Arial"/>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5" w:lineRule="exact"/>
        <w:rPr>
          <w:rFonts w:ascii="Arial" w:cs="Arial" w:eastAsia="Arial" w:hAnsi="Arial"/>
          <w:sz w:val="18"/>
          <w:szCs w:val="18"/>
          <w:color w:val="auto"/>
        </w:rPr>
      </w:pPr>
    </w:p>
    <w:p>
      <w:pPr>
        <w:jc w:val="both"/>
        <w:ind w:right="20" w:firstLine="656"/>
        <w:spacing w:after="0" w:line="266" w:lineRule="auto"/>
        <w:tabs>
          <w:tab w:leader="none" w:pos="160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If the Trustee incurs expenses or renders services after an Event of Default pursuant to </w:t>
      </w:r>
      <w:r>
        <w:rPr>
          <w:rFonts w:ascii="Arial" w:cs="Arial" w:eastAsia="Arial" w:hAnsi="Arial"/>
          <w:sz w:val="18"/>
          <w:szCs w:val="18"/>
          <w:b w:val="1"/>
          <w:bCs w:val="1"/>
          <w:color w:val="auto"/>
        </w:rPr>
        <w:t>clause (ix)</w:t>
      </w:r>
      <w:r>
        <w:rPr>
          <w:rFonts w:ascii="Arial" w:cs="Arial" w:eastAsia="Arial" w:hAnsi="Arial"/>
          <w:sz w:val="18"/>
          <w:szCs w:val="18"/>
          <w:color w:val="auto"/>
        </w:rPr>
        <w:t xml:space="preserve"> or </w:t>
      </w:r>
      <w:r>
        <w:rPr>
          <w:rFonts w:ascii="Arial" w:cs="Arial" w:eastAsia="Arial" w:hAnsi="Arial"/>
          <w:sz w:val="18"/>
          <w:szCs w:val="18"/>
          <w:b w:val="1"/>
          <w:bCs w:val="1"/>
          <w:color w:val="auto"/>
        </w:rPr>
        <w:t>(x)</w:t>
      </w:r>
      <w:r>
        <w:rPr>
          <w:rFonts w:ascii="Arial" w:cs="Arial" w:eastAsia="Arial" w:hAnsi="Arial"/>
          <w:sz w:val="18"/>
          <w:szCs w:val="18"/>
          <w:color w:val="auto"/>
        </w:rPr>
        <w:t xml:space="preserve"> of </w:t>
      </w:r>
      <w:r>
        <w:rPr>
          <w:rFonts w:ascii="Arial" w:cs="Arial" w:eastAsia="Arial" w:hAnsi="Arial"/>
          <w:sz w:val="18"/>
          <w:szCs w:val="18"/>
          <w:b w:val="1"/>
          <w:bCs w:val="1"/>
          <w:color w:val="auto"/>
        </w:rPr>
        <w:t>Section 7.01(A)</w:t>
      </w:r>
      <w:r>
        <w:rPr>
          <w:rFonts w:ascii="Arial" w:cs="Arial" w:eastAsia="Arial" w:hAnsi="Arial"/>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10.07. R</w:t>
      </w:r>
      <w:r>
        <w:rPr>
          <w:rFonts w:ascii="Arial" w:cs="Arial" w:eastAsia="Arial" w:hAnsi="Arial"/>
          <w:sz w:val="12"/>
          <w:szCs w:val="12"/>
          <w:b w:val="1"/>
          <w:bCs w:val="1"/>
          <w:color w:val="auto"/>
        </w:rPr>
        <w:t>EPLACEMENT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5" w:lineRule="exact"/>
        <w:rPr>
          <w:sz w:val="20"/>
          <w:szCs w:val="20"/>
          <w:color w:val="auto"/>
        </w:rPr>
      </w:pPr>
    </w:p>
    <w:p>
      <w:pPr>
        <w:ind w:firstLine="656"/>
        <w:spacing w:after="0" w:line="312" w:lineRule="auto"/>
        <w:tabs>
          <w:tab w:leader="none" w:pos="165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b w:val="1"/>
          <w:bCs w:val="1"/>
          <w:color w:val="auto"/>
        </w:rPr>
        <w:t>Section 10.07</w:t>
      </w:r>
      <w:r>
        <w:rPr>
          <w:rFonts w:ascii="Arial" w:cs="Arial" w:eastAsia="Arial" w:hAnsi="Arial"/>
          <w:sz w:val="17"/>
          <w:szCs w:val="17"/>
          <w:color w:val="auto"/>
        </w:rPr>
        <w:t xml:space="preserve">, a resignation or removal of the Trustee, and the appointment of a successor Trustee, will become effective only upon such successor Trustee’s acceptance of appointment as provided in this </w:t>
      </w:r>
      <w:r>
        <w:rPr>
          <w:rFonts w:ascii="Arial" w:cs="Arial" w:eastAsia="Arial" w:hAnsi="Arial"/>
          <w:sz w:val="17"/>
          <w:szCs w:val="17"/>
          <w:b w:val="1"/>
          <w:bCs w:val="1"/>
          <w:color w:val="auto"/>
        </w:rPr>
        <w:t>Section 10.07</w:t>
      </w:r>
      <w:r>
        <w:rPr>
          <w:rFonts w:ascii="Arial" w:cs="Arial" w:eastAsia="Arial" w:hAnsi="Arial"/>
          <w:sz w:val="17"/>
          <w:szCs w:val="17"/>
          <w:color w:val="auto"/>
        </w:rPr>
        <w:t>.</w:t>
      </w:r>
    </w:p>
    <w:p>
      <w:pPr>
        <w:spacing w:after="0" w:line="143" w:lineRule="exact"/>
        <w:rPr>
          <w:rFonts w:ascii="Arial" w:cs="Arial" w:eastAsia="Arial" w:hAnsi="Arial"/>
          <w:sz w:val="17"/>
          <w:szCs w:val="17"/>
          <w:color w:val="auto"/>
        </w:rPr>
      </w:pPr>
    </w:p>
    <w:p>
      <w:pPr>
        <w:jc w:val="both"/>
        <w:ind w:firstLine="656"/>
        <w:spacing w:after="0" w:line="263" w:lineRule="auto"/>
        <w:tabs>
          <w:tab w:leader="none" w:pos="16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with thirty (30) days prior notice. The Company may remove the Trustee if:</w:t>
      </w:r>
    </w:p>
    <w:p>
      <w:pPr>
        <w:spacing w:after="0" w:line="179" w:lineRule="exact"/>
        <w:rPr>
          <w:rFonts w:ascii="Arial" w:cs="Arial" w:eastAsia="Arial" w:hAnsi="Arial"/>
          <w:sz w:val="18"/>
          <w:szCs w:val="18"/>
          <w:color w:val="auto"/>
        </w:rPr>
      </w:pPr>
    </w:p>
    <w:p>
      <w:pPr>
        <w:ind w:left="2360" w:hanging="840"/>
        <w:spacing w:after="0"/>
        <w:tabs>
          <w:tab w:leader="none" w:pos="23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460" w:hanging="940"/>
        <w:spacing w:after="0"/>
        <w:tabs>
          <w:tab w:leader="none" w:pos="24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Trustee is adjudged to be bankrupt or insolvent or an order for relief is entered with respect to the Trustee under any</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6"/>
          <w:szCs w:val="16"/>
          <w:color w:val="auto"/>
        </w:rPr>
      </w:pPr>
    </w:p>
    <w:p>
      <w:pPr>
        <w:ind w:left="2380" w:hanging="860"/>
        <w:spacing w:after="0"/>
        <w:tabs>
          <w:tab w:leader="none" w:pos="23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360" w:hanging="840"/>
        <w:spacing w:after="0"/>
        <w:tabs>
          <w:tab w:leader="none" w:pos="23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56"/>
        <w:spacing w:after="0" w:line="311" w:lineRule="auto"/>
        <w:tabs>
          <w:tab w:leader="none" w:pos="14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Trustee resigns or is removed, or if a vacancy exists in the office of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64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thirty (30)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9" w:lineRule="exact"/>
        <w:rPr>
          <w:rFonts w:ascii="Arial" w:cs="Arial" w:eastAsia="Arial" w:hAnsi="Arial"/>
          <w:sz w:val="18"/>
          <w:szCs w:val="18"/>
          <w:color w:val="auto"/>
        </w:rPr>
      </w:pPr>
    </w:p>
    <w:p>
      <w:pPr>
        <w:ind w:right="20" w:firstLine="656"/>
        <w:spacing w:after="0" w:line="282" w:lineRule="auto"/>
        <w:tabs>
          <w:tab w:leader="none" w:pos="155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the Trustee, after written request by a Holder of at least six (6) months,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 then such Holder may petition any court of competent jurisdiction for the removal of the Trustee and the appointment of a successor Trustee.</w:t>
      </w:r>
    </w:p>
    <w:p>
      <w:pPr>
        <w:spacing w:after="0" w:line="165" w:lineRule="exact"/>
        <w:rPr>
          <w:rFonts w:ascii="Arial" w:cs="Arial" w:eastAsia="Arial" w:hAnsi="Arial"/>
          <w:sz w:val="18"/>
          <w:szCs w:val="18"/>
          <w:color w:val="auto"/>
        </w:rPr>
      </w:pPr>
    </w:p>
    <w:p>
      <w:pPr>
        <w:jc w:val="both"/>
        <w:ind w:firstLine="656"/>
        <w:spacing w:after="0" w:line="257" w:lineRule="auto"/>
        <w:tabs>
          <w:tab w:leader="none" w:pos="15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Arial" w:cs="Arial" w:eastAsia="Arial" w:hAnsi="Arial"/>
          <w:sz w:val="18"/>
          <w:szCs w:val="18"/>
          <w:b w:val="1"/>
          <w:bCs w:val="1"/>
          <w:color w:val="auto"/>
        </w:rPr>
        <w:t>Section 10.06(D)</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10.09.</w:t>
      </w:r>
      <w:r>
        <w:rPr>
          <w:sz w:val="20"/>
          <w:szCs w:val="20"/>
          <w:color w:val="auto"/>
        </w:rPr>
        <w:tab/>
      </w:r>
      <w:r>
        <w:rPr>
          <w:rFonts w:ascii="Arial" w:cs="Arial" w:eastAsia="Arial" w:hAnsi="Arial"/>
          <w:sz w:val="17"/>
          <w:szCs w:val="17"/>
          <w:b w:val="1"/>
          <w:bCs w:val="1"/>
          <w:color w:val="auto"/>
        </w:rPr>
        <w:t>S</w:t>
      </w:r>
      <w:r>
        <w:rPr>
          <w:rFonts w:ascii="Arial" w:cs="Arial" w:eastAsia="Arial" w:hAnsi="Arial"/>
          <w:sz w:val="11"/>
          <w:szCs w:val="11"/>
          <w:b w:val="1"/>
          <w:bCs w:val="1"/>
          <w:color w:val="auto"/>
        </w:rPr>
        <w:t>UCCESSOR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RUSTEE BY</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ERGER</w:t>
      </w:r>
      <w:r>
        <w:rPr>
          <w:rFonts w:ascii="Arial" w:cs="Arial" w:eastAsia="Arial" w:hAnsi="Arial"/>
          <w:sz w:val="17"/>
          <w:szCs w:val="17"/>
          <w:b w:val="1"/>
          <w:bCs w:val="1"/>
          <w:color w:val="auto"/>
        </w:rPr>
        <w:t>, E</w:t>
      </w:r>
      <w:r>
        <w:rPr>
          <w:rFonts w:ascii="Arial" w:cs="Arial" w:eastAsia="Arial" w:hAnsi="Arial"/>
          <w:sz w:val="11"/>
          <w:szCs w:val="11"/>
          <w:b w:val="1"/>
          <w:bCs w:val="1"/>
          <w:color w:val="auto"/>
        </w:rPr>
        <w:t>TC</w:t>
      </w:r>
      <w:r>
        <w:rPr>
          <w:rFonts w:ascii="Arial" w:cs="Arial" w:eastAsia="Arial" w:hAnsi="Arial"/>
          <w:sz w:val="17"/>
          <w:szCs w:val="17"/>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Person, then such Person will become the successor Trustee without any further act.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10.09.</w:t>
        <w:tab/>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 D</w:t>
      </w:r>
      <w:r>
        <w:rPr>
          <w:rFonts w:ascii="Arial" w:cs="Arial" w:eastAsia="Arial" w:hAnsi="Arial"/>
          <w:sz w:val="12"/>
          <w:szCs w:val="12"/>
          <w:b w:val="1"/>
          <w:bCs w:val="1"/>
          <w:color w:val="auto"/>
        </w:rPr>
        <w:t>ISQUALIFICATION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will at all times be a Trustee under this Indenture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8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11.01. N</w:t>
      </w:r>
      <w:r>
        <w:rPr>
          <w:rFonts w:ascii="Arial" w:cs="Arial" w:eastAsia="Arial" w:hAnsi="Arial"/>
          <w:sz w:val="12"/>
          <w:szCs w:val="12"/>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Hartmann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Lebanon, Tennessee 37087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Office of the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Global Corporate Trust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Commerce Street, Suite 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Nashville, Tennessee 37201,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Wally Jones Attention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(Cracker Barrel Senior Notes Due 2026)</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(including facsimile numbers and electronic addresses) for subsequent notices or communications.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Trustee agrees to accept and act on instructions or directions pursuant to this Indenture sent by unsecured e-mail, pdf, facsimile transmission or other similar unsecured electronic methods,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has received an incumbency certificate listing persons designated to give such instructions or directions and containing specimen signatures of such designated persons, which incumbency certificate the Trustee will be entitled to rely as conclusive and up-to-date until such time as it receives an amended certificate containing any additions thereto or deletions therefrom. If the Company elects to give the Trustee e-mail or facsimile instructions (or instructions by a similar electronic method) and the Trustee in its discretion elects to act upon such instructions, the Trustee’s reasonable understanding of such instructions will be deemed controlling. The Trustee will not be liable for any losses, costs or expenses arising directly or indirectly from the Trustee’s reliance upon and compliance with such instructions notwithstanding that such instructions may conflict or be inconsistent with a subsequent written instruction. The Company agrees to assume all risks arising out of the use of such electronic methods to submit instructions and directions to the Trustee, including the risk of the Trustee acting on unauthorized instructions and the risk of interception and misuse by third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70" w:lineRule="auto"/>
        <w:rPr>
          <w:sz w:val="20"/>
          <w:szCs w:val="20"/>
          <w:color w:val="auto"/>
        </w:rPr>
      </w:pPr>
      <w:r>
        <w:rPr>
          <w:rFonts w:ascii="Arial" w:cs="Arial" w:eastAsia="Arial" w:hAnsi="Arial"/>
          <w:sz w:val="17"/>
          <w:szCs w:val="17"/>
          <w:color w:val="auto"/>
        </w:rPr>
        <w:t>Notwithstanding any other provision of this Indenture or any Note, where this Indenture or any Note provides for notice of any event or any other communication (including any notice of repurchase) to a holder of a Global Note (whether by mail or otherwise), such notice will be sufficiently given if given to the Depositary (or its designee) pursuant to the standing instructions from the Depositary or its designee, including by electronic mail in accordance with accepted practices at the Depositary. Subject to the requirements of the preceding paragraph, if the Trustee is then acting as the Depositary’s custodian for the Notes, then, at the reasonable request of the Company to the Trustee, the Trustee will cause any notice prepared by the Company to be sent to any Holder(s) pursuant to the Depositary Procedures, provided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or sent in the manner provided above within the time prescribed, it will be deemed to have been duly given, whether or not the addressee receives it.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anything to the contrary in this Indenture or the Notes, whenever any provision of this Indenture requires a party to send notice to another party, no such notice need be sent if the sending party and the recipient are the same Person acting in different capacities.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11.02. D</w:t>
      </w:r>
      <w:r>
        <w:rPr>
          <w:rFonts w:ascii="Arial" w:cs="Arial" w:eastAsia="Arial" w:hAnsi="Arial"/>
          <w:sz w:val="12"/>
          <w:szCs w:val="12"/>
          <w:b w:val="1"/>
          <w:bCs w:val="1"/>
          <w:color w:val="auto"/>
        </w:rPr>
        <w:t>ELIVERY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 AS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will furnish to the Trustee:</w:t>
      </w:r>
    </w:p>
    <w:p>
      <w:pPr>
        <w:spacing w:after="0" w:line="244" w:lineRule="exact"/>
        <w:rPr>
          <w:sz w:val="20"/>
          <w:szCs w:val="20"/>
          <w:color w:val="auto"/>
        </w:rPr>
      </w:pPr>
    </w:p>
    <w:p>
      <w:pPr>
        <w:jc w:val="both"/>
        <w:ind w:firstLine="656"/>
        <w:spacing w:after="0" w:line="266" w:lineRule="auto"/>
        <w:tabs>
          <w:tab w:leader="none" w:pos="148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 Officer’s Certificate in form and substance reasonably satisfactory to the Trustee that complies with </w:t>
      </w:r>
      <w:r>
        <w:rPr>
          <w:rFonts w:ascii="Arial" w:cs="Arial" w:eastAsia="Arial" w:hAnsi="Arial"/>
          <w:sz w:val="18"/>
          <w:szCs w:val="18"/>
          <w:b w:val="1"/>
          <w:bCs w:val="1"/>
          <w:color w:val="auto"/>
        </w:rPr>
        <w:t>Section 11.03</w:t>
      </w:r>
      <w:r>
        <w:rPr>
          <w:rFonts w:ascii="Arial" w:cs="Arial" w:eastAsia="Arial" w:hAnsi="Arial"/>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75" w:lineRule="exact"/>
        <w:rPr>
          <w:rFonts w:ascii="Arial" w:cs="Arial" w:eastAsia="Arial" w:hAnsi="Arial"/>
          <w:sz w:val="18"/>
          <w:szCs w:val="18"/>
          <w:color w:val="auto"/>
        </w:rPr>
      </w:pPr>
    </w:p>
    <w:p>
      <w:pPr>
        <w:jc w:val="both"/>
        <w:ind w:firstLine="656"/>
        <w:spacing w:after="0" w:line="266" w:lineRule="auto"/>
        <w:tabs>
          <w:tab w:leader="none" w:pos="15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 Opinion of Counsel in form and substance reasonably satisfactory to the Trustee that complies with </w:t>
      </w:r>
      <w:r>
        <w:rPr>
          <w:rFonts w:ascii="Arial" w:cs="Arial" w:eastAsia="Arial" w:hAnsi="Arial"/>
          <w:sz w:val="18"/>
          <w:szCs w:val="18"/>
          <w:b w:val="1"/>
          <w:bCs w:val="1"/>
          <w:color w:val="auto"/>
        </w:rPr>
        <w:t>Section 11.03</w:t>
      </w:r>
      <w:r>
        <w:rPr>
          <w:rFonts w:ascii="Arial" w:cs="Arial" w:eastAsia="Arial" w:hAnsi="Arial"/>
          <w:sz w:val="18"/>
          <w:szCs w:val="18"/>
          <w:color w:val="auto"/>
        </w:rPr>
        <w:t xml:space="preserve"> and states that, in the opinion of such counsel, all such conditions precedent and covenants, if any, have been satisfied (other than the initial authentication of Notes under this Indenture).</w:t>
      </w:r>
    </w:p>
    <w:p>
      <w:pPr>
        <w:spacing w:after="0" w:line="395" w:lineRule="exact"/>
        <w:rPr>
          <w:rFonts w:ascii="Arial" w:cs="Arial" w:eastAsia="Arial" w:hAnsi="Arial"/>
          <w:sz w:val="18"/>
          <w:szCs w:val="18"/>
          <w:color w:val="auto"/>
        </w:rPr>
      </w:pPr>
    </w:p>
    <w:p>
      <w:pPr>
        <w:ind w:left="5540" w:hanging="111"/>
        <w:spacing w:after="0"/>
        <w:tabs>
          <w:tab w:leader="none" w:pos="5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Section 11.03. S</w:t>
      </w:r>
      <w:r>
        <w:rPr>
          <w:rFonts w:ascii="Arial" w:cs="Arial" w:eastAsia="Arial" w:hAnsi="Arial"/>
          <w:sz w:val="12"/>
          <w:szCs w:val="12"/>
          <w:b w:val="1"/>
          <w:bCs w:val="1"/>
          <w:color w:val="auto"/>
        </w:rPr>
        <w:t>TATEMENTS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Each Officer’s Certificate (other than an Officer’s Certificate pursuant to </w:t>
      </w:r>
      <w:r>
        <w:rPr>
          <w:rFonts w:ascii="Arial" w:cs="Arial" w:eastAsia="Arial" w:hAnsi="Arial"/>
          <w:sz w:val="18"/>
          <w:szCs w:val="18"/>
          <w:b w:val="1"/>
          <w:bCs w:val="1"/>
          <w:color w:val="auto"/>
        </w:rPr>
        <w:t>Section 3.05</w:t>
      </w:r>
      <w:r>
        <w:rPr>
          <w:rFonts w:ascii="Arial" w:cs="Arial" w:eastAsia="Arial" w:hAnsi="Arial"/>
          <w:sz w:val="18"/>
          <w:szCs w:val="18"/>
          <w:color w:val="auto"/>
        </w:rPr>
        <w:t>) or Opinion of Counsel with respect to compliance with a covenant or condition provided for in this Indenture will include:</w:t>
      </w:r>
    </w:p>
    <w:p>
      <w:pPr>
        <w:spacing w:after="0" w:line="166" w:lineRule="exact"/>
        <w:rPr>
          <w:sz w:val="20"/>
          <w:szCs w:val="20"/>
          <w:color w:val="auto"/>
        </w:rPr>
      </w:pPr>
    </w:p>
    <w:p>
      <w:pPr>
        <w:ind w:left="1500" w:hanging="844"/>
        <w:spacing w:after="0"/>
        <w:tabs>
          <w:tab w:leader="none" w:pos="1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that the signatory thereto has read such covenant or condition;</w:t>
      </w:r>
    </w:p>
    <w:p>
      <w:pPr>
        <w:spacing w:after="0" w:line="225" w:lineRule="exact"/>
        <w:rPr>
          <w:rFonts w:ascii="Arial" w:cs="Arial" w:eastAsia="Arial" w:hAnsi="Arial"/>
          <w:sz w:val="18"/>
          <w:szCs w:val="18"/>
          <w:color w:val="auto"/>
        </w:rPr>
      </w:pPr>
    </w:p>
    <w:p>
      <w:pPr>
        <w:ind w:left="1680" w:hanging="1024"/>
        <w:spacing w:after="0"/>
        <w:tabs>
          <w:tab w:leader="none" w:pos="1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brief statement as to the nature and scope of the examination or investigation upon which the statements or opinions contained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 are based;</w:t>
      </w:r>
    </w:p>
    <w:p>
      <w:pPr>
        <w:spacing w:after="0" w:line="210" w:lineRule="exact"/>
        <w:rPr>
          <w:rFonts w:ascii="Arial" w:cs="Arial" w:eastAsia="Arial" w:hAnsi="Arial"/>
          <w:sz w:val="16"/>
          <w:szCs w:val="16"/>
          <w:color w:val="auto"/>
        </w:rPr>
      </w:pPr>
    </w:p>
    <w:p>
      <w:pPr>
        <w:ind w:right="20" w:firstLine="656"/>
        <w:spacing w:after="0" w:line="277" w:lineRule="auto"/>
        <w:tabs>
          <w:tab w:leader="none" w:pos="14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as to whether, in the opinion of such signatory, such covenant or condition has been satisfied.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11.04. R</w:t>
      </w:r>
      <w:r>
        <w:rPr>
          <w:rFonts w:ascii="Arial" w:cs="Arial" w:eastAsia="Arial" w:hAnsi="Arial"/>
          <w:sz w:val="12"/>
          <w:szCs w:val="12"/>
          <w:b w:val="1"/>
          <w:bCs w:val="1"/>
          <w:color w:val="auto"/>
        </w:rPr>
        <w:t>ULES BY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EGISTRAR AND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11.05.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IABILITY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O</w:t>
      </w:r>
      <w:r>
        <w:rPr>
          <w:rFonts w:ascii="Arial" w:cs="Arial" w:eastAsia="Arial" w:hAnsi="Arial"/>
          <w:sz w:val="12"/>
          <w:szCs w:val="12"/>
          <w:b w:val="1"/>
          <w:bCs w:val="1"/>
          <w:color w:val="auto"/>
        </w:rPr>
        <w:t>FFICERS</w:t>
      </w:r>
      <w:r>
        <w:rPr>
          <w:rFonts w:ascii="Arial" w:cs="Arial" w:eastAsia="Arial" w:hAnsi="Arial"/>
          <w:sz w:val="18"/>
          <w:szCs w:val="18"/>
          <w:b w:val="1"/>
          <w:bCs w:val="1"/>
          <w:color w:val="auto"/>
        </w:rPr>
        <w:t>, E</w:t>
      </w:r>
      <w:r>
        <w:rPr>
          <w:rFonts w:ascii="Arial" w:cs="Arial" w:eastAsia="Arial" w:hAnsi="Arial"/>
          <w:sz w:val="12"/>
          <w:szCs w:val="12"/>
          <w:b w:val="1"/>
          <w:bCs w:val="1"/>
          <w:color w:val="auto"/>
        </w:rPr>
        <w:t>MPLOYEES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11.06.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11.07. S</w:t>
      </w:r>
      <w:r>
        <w:rPr>
          <w:rFonts w:ascii="Arial" w:cs="Arial" w:eastAsia="Arial" w:hAnsi="Arial"/>
          <w:sz w:val="12"/>
          <w:szCs w:val="12"/>
          <w:b w:val="1"/>
          <w:bCs w:val="1"/>
          <w:color w:val="auto"/>
        </w:rPr>
        <w:t>UBMISSION TO</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URISDICTION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Arial" w:cs="Arial" w:eastAsia="Arial" w:hAnsi="Arial"/>
          <w:sz w:val="17"/>
          <w:szCs w:val="17"/>
          <w:b w:val="1"/>
          <w:bCs w:val="1"/>
          <w:color w:val="auto"/>
        </w:rPr>
        <w:t>Section 11.01</w:t>
      </w:r>
      <w:r>
        <w:rPr>
          <w:rFonts w:ascii="Arial" w:cs="Arial" w:eastAsia="Arial" w:hAnsi="Arial"/>
          <w:sz w:val="17"/>
          <w:szCs w:val="17"/>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11.08.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DVERSE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NTERPRETATION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11.09. S</w:t>
      </w:r>
      <w:r>
        <w:rPr>
          <w:rFonts w:ascii="Arial" w:cs="Arial" w:eastAsia="Arial" w:hAnsi="Arial"/>
          <w:sz w:val="12"/>
          <w:szCs w:val="12"/>
          <w:b w:val="1"/>
          <w:bCs w:val="1"/>
          <w:color w:val="auto"/>
        </w:rPr>
        <w:t>UCCESSORS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in this Indenture will bind its successors.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11.10. F</w:t>
      </w:r>
      <w:r>
        <w:rPr>
          <w:rFonts w:ascii="Arial" w:cs="Arial" w:eastAsia="Arial" w:hAnsi="Arial"/>
          <w:sz w:val="12"/>
          <w:szCs w:val="12"/>
          <w:b w:val="1"/>
          <w:bCs w:val="1"/>
          <w:color w:val="auto"/>
        </w:rPr>
        <w:t>ORCE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AJEURE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 event will the Trustee be responsible or liable for any failure or delay in the performance of its obligations under this Indenture arising out of or caused by, directly or indirectly, forces beyond its control, including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will use reasonable efforts that are consistent with accepted practices in the banking industry to resume performance as soon as practicable under the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11.11. U.S.A. PATRIOT A</w:t>
      </w:r>
      <w:r>
        <w:rPr>
          <w:rFonts w:ascii="Arial" w:cs="Arial" w:eastAsia="Arial" w:hAnsi="Arial"/>
          <w:sz w:val="12"/>
          <w:szCs w:val="12"/>
          <w:b w:val="1"/>
          <w:bCs w:val="1"/>
          <w:color w:val="auto"/>
        </w:rPr>
        <w:t>CT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11.12. C</w:t>
      </w:r>
      <w:r>
        <w:rPr>
          <w:rFonts w:ascii="Arial" w:cs="Arial" w:eastAsia="Arial" w:hAnsi="Arial"/>
          <w:sz w:val="12"/>
          <w:szCs w:val="12"/>
          <w:b w:val="1"/>
          <w:bCs w:val="1"/>
          <w:color w:val="auto"/>
        </w:rPr>
        <w:t>ALCULATIONS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in this Indenture, the Company will be responsible for making all calculations called for under this Indenture or the Notes, including determinations of the Last Reported Sale Price, the Daily Cash Amount, the Daily Share Amount, accrued interest on the Notes and the Conversion 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at the cost and expense of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avoidance of doubt, neither the Trustee nor the Conversion Agent will have any responsibility to make any calculations under this Indenture, nor will the Trustee or the Conversion Agent be charged with knowledge of or have any duties to monitor the Stock Price or any Observation Period. The Trustee and the Conversion Agent may rely conclusively on the calculations and information provided to them by the Company as to the Daily VWAP, the Daily Conversion Values, the Trading Price and the Last Reported Sale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11.13. 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11.14. C</w:t>
      </w:r>
      <w:r>
        <w:rPr>
          <w:rFonts w:ascii="Arial" w:cs="Arial" w:eastAsia="Arial" w:hAnsi="Arial"/>
          <w:sz w:val="12"/>
          <w:szCs w:val="12"/>
          <w:b w:val="1"/>
          <w:bCs w:val="1"/>
          <w:color w:val="auto"/>
        </w:rPr>
        <w:t>OUNTERPARTS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11.15. 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r>
        <w:rPr>
          <w:rFonts w:ascii="Arial" w:cs="Arial" w:eastAsia="Arial" w:hAnsi="Arial"/>
          <w:sz w:val="18"/>
          <w:szCs w:val="18"/>
          <w:b w:val="1"/>
          <w:bCs w:val="1"/>
          <w:color w:val="auto"/>
        </w:rPr>
        <w:t>, H</w:t>
      </w:r>
      <w:r>
        <w:rPr>
          <w:rFonts w:ascii="Arial" w:cs="Arial" w:eastAsia="Arial" w:hAnsi="Arial"/>
          <w:sz w:val="12"/>
          <w:szCs w:val="12"/>
          <w:b w:val="1"/>
          <w:bCs w:val="1"/>
          <w:color w:val="auto"/>
        </w:rPr>
        <w:t>EADINGS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11.16.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Holder or Beneficial Owner of Notes agrees that, in the event that it is deemed to have received a distribution that is subject to U.S. federal income tax as a result of an adjustment or the non-occurrence of an adjustment to the Conversion Rate, any resulting withholding taxes (including backup withholding) may be withheld from interest and payments upon conversion, redemption, repurchase, redemption, or maturity of the Notes. In addition, each Holder of a Note agrees that if any withholding taxes (including backup withholding) are paid on behalf of such Holder or Beneficial Owner of Notes, then those withholding taxes may be withheld from or set off against subsequent payments of cash or the delivery of other Conversion Consideration, if any, in respect of the Notes (or, in some circumstances, any payments on the Common Stock) or sales proceeds received by, or other funds or assets of, such Holder or Beneficial Owner.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Section 11.17. F</w:t>
      </w:r>
      <w:r>
        <w:rPr>
          <w:rFonts w:ascii="Arial" w:cs="Arial" w:eastAsia="Arial" w:hAnsi="Arial"/>
          <w:sz w:val="12"/>
          <w:szCs w:val="12"/>
          <w:b w:val="1"/>
          <w:bCs w:val="1"/>
          <w:color w:val="auto"/>
        </w:rPr>
        <w:t>OREIGN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w:t>
      </w:r>
      <w:r>
        <w:rPr>
          <w:rFonts w:ascii="Arial" w:cs="Arial" w:eastAsia="Arial" w:hAnsi="Arial"/>
          <w:sz w:val="18"/>
          <w:szCs w:val="18"/>
          <w:b w:val="1"/>
          <w:bCs w:val="1"/>
          <w:color w:val="auto"/>
        </w:rPr>
        <w:t xml:space="preserve"> (FATCA).</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order to comply with applicable tax laws, rules and regulations (inclusive of directives, guidelines and interpretations promulgated by competent authorities) in effect from time to time (“</w:t>
      </w:r>
      <w:r>
        <w:rPr>
          <w:rFonts w:ascii="Arial" w:cs="Arial" w:eastAsia="Arial" w:hAnsi="Arial"/>
          <w:sz w:val="18"/>
          <w:szCs w:val="18"/>
          <w:b w:val="1"/>
          <w:bCs w:val="1"/>
          <w:color w:val="auto"/>
        </w:rPr>
        <w:t>Applicable Tax Law</w:t>
      </w:r>
      <w:r>
        <w:rPr>
          <w:rFonts w:ascii="Arial" w:cs="Arial" w:eastAsia="Arial" w:hAnsi="Arial"/>
          <w:sz w:val="18"/>
          <w:szCs w:val="18"/>
          <w:color w:val="auto"/>
        </w:rPr>
        <w:t>”) that a foreign financial institution, issuer, trustee, paying agent, holder or other institution is or has agreed to be subject to related to the Indenture, the Company agrees (A) to provide to the Trustee upon reasonable written request by the Trustee sufficient information about Holders or other applicable parties and/or transactions (including any modification to the terms of such transactions) so the Trustee can determine whether it has tax related obligations under Applicable Tax Law; and (B) that the Trustee will be entitled to make any withholding or deduction from payments under the Indenture to the extent necessary to comply with Applicable Tax Law for which the Trustee will not have any liability, absent gross negligence or willful misconduct on its part. The obligations imposed on the Company under this paragraph are limited to the extent that (x) the Company has the relevant information in its possession or control, or is reasonably obtainable by the Company; and (y) the provision of such information to the Trustee will not result in any breach of this Indenture or the Notes or violate any applicable law. The terms of this section will survive the termination of this Indenture.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11.18. E</w:t>
      </w:r>
      <w:r>
        <w:rPr>
          <w:rFonts w:ascii="Arial" w:cs="Arial" w:eastAsia="Arial" w:hAnsi="Arial"/>
          <w:sz w:val="12"/>
          <w:szCs w:val="12"/>
          <w:b w:val="1"/>
          <w:bCs w:val="1"/>
          <w:color w:val="auto"/>
        </w:rPr>
        <w:t>LECTRONIC</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words “execution,” “execute,” “signed,” “signature” and words of like import in this Indenture or any document to be signed in connection with this Indenture and the transactions contemplated hereby will be deemed to include manual signatures that are scanned, photocopied or faxed or other electronic signatures created on an electronic platform (such as DocuSign) or digital signature (such as Adobe Sign). Such signatures, and contract formations on electronic platforms, and the keeping of records in electronic form, will be of the same legal effect, validity and enforceability as a manually executed signature or the use of a paper-based recordkeeping system, in each case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Company agrees to assume all risks arising out of the use of digital signatures and electronic methods to submit communications, including the risk of the Trustee acting on unauthorized instructions and the risk of interception and misuse by third parties.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to this Indenture have caused this Indenture to be duly executed as of the date first written above.</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RACKER</w:t>
      </w:r>
      <w:r>
        <w:rPr>
          <w:rFonts w:ascii="Arial" w:cs="Arial" w:eastAsia="Arial" w:hAnsi="Arial"/>
          <w:sz w:val="18"/>
          <w:szCs w:val="18"/>
          <w:color w:val="auto"/>
        </w:rPr>
        <w:t xml:space="preserve"> B</w:t>
      </w:r>
      <w:r>
        <w:rPr>
          <w:rFonts w:ascii="Arial" w:cs="Arial" w:eastAsia="Arial" w:hAnsi="Arial"/>
          <w:sz w:val="12"/>
          <w:szCs w:val="12"/>
          <w:color w:val="auto"/>
        </w:rPr>
        <w:t>ARREL</w:t>
      </w:r>
      <w:r>
        <w:rPr>
          <w:rFonts w:ascii="Arial" w:cs="Arial" w:eastAsia="Arial" w:hAnsi="Arial"/>
          <w:sz w:val="18"/>
          <w:szCs w:val="18"/>
          <w:color w:val="auto"/>
        </w:rPr>
        <w:t xml:space="preserve"> O</w:t>
      </w:r>
      <w:r>
        <w:rPr>
          <w:rFonts w:ascii="Arial" w:cs="Arial" w:eastAsia="Arial" w:hAnsi="Arial"/>
          <w:sz w:val="12"/>
          <w:szCs w:val="12"/>
          <w:color w:val="auto"/>
        </w:rPr>
        <w:t>LD</w:t>
      </w:r>
      <w:r>
        <w:rPr>
          <w:rFonts w:ascii="Arial" w:cs="Arial" w:eastAsia="Arial" w:hAnsi="Arial"/>
          <w:sz w:val="18"/>
          <w:szCs w:val="18"/>
          <w:color w:val="auto"/>
        </w:rPr>
        <w:t xml:space="preserve"> C</w:t>
      </w:r>
      <w:r>
        <w:rPr>
          <w:rFonts w:ascii="Arial" w:cs="Arial" w:eastAsia="Arial" w:hAnsi="Arial"/>
          <w:sz w:val="12"/>
          <w:szCs w:val="12"/>
          <w:color w:val="auto"/>
        </w:rPr>
        <w:t>OUNTRY</w:t>
      </w:r>
      <w:r>
        <w:rPr>
          <w:rFonts w:ascii="Arial" w:cs="Arial" w:eastAsia="Arial" w:hAnsi="Arial"/>
          <w:sz w:val="18"/>
          <w:szCs w:val="18"/>
          <w:color w:val="auto"/>
        </w:rPr>
        <w:t xml:space="preserve"> S</w:t>
      </w:r>
      <w:r>
        <w:rPr>
          <w:rFonts w:ascii="Arial" w:cs="Arial" w:eastAsia="Arial" w:hAnsi="Arial"/>
          <w:sz w:val="12"/>
          <w:szCs w:val="12"/>
          <w:color w:val="auto"/>
        </w:rPr>
        <w:t>TORE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P. Douglas Couvillion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P. Douglas Couvillion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Interim Chief Financial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Wally Jones</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980" w:top="904" w:right="8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392"/>
        </w:trPr>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FORM OF NOTE</w:t>
            </w: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3"/>
        </w:trPr>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gridSpan w:val="3"/>
          </w:tcPr>
          <w:p>
            <w:pPr>
              <w:jc w:val="center"/>
              <w:ind w:right="223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Insert Global Note Legend, if applicable</w:t>
            </w:r>
            <w:r>
              <w:rPr>
                <w:rFonts w:ascii="Arial" w:cs="Arial" w:eastAsia="Arial" w:hAnsi="Arial"/>
                <w:sz w:val="18"/>
                <w:szCs w:val="18"/>
                <w:color w:val="auto"/>
                <w:w w:val="93"/>
              </w:rPr>
              <w:t>]</w:t>
            </w:r>
          </w:p>
        </w:tc>
        <w:tc>
          <w:tcPr>
            <w:tcW w:w="112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gridSpan w:val="3"/>
          </w:tcPr>
          <w:p>
            <w:pPr>
              <w:jc w:val="center"/>
              <w:ind w:right="221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Insert Restricted Note Legend, if applicable</w:t>
            </w:r>
            <w:r>
              <w:rPr>
                <w:rFonts w:ascii="Arial" w:cs="Arial" w:eastAsia="Arial" w:hAnsi="Arial"/>
                <w:sz w:val="18"/>
                <w:szCs w:val="18"/>
                <w:color w:val="auto"/>
                <w:w w:val="92"/>
              </w:rPr>
              <w:t>]</w:t>
            </w:r>
          </w:p>
        </w:tc>
        <w:tc>
          <w:tcPr>
            <w:tcW w:w="112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gridSpan w:val="3"/>
          </w:tcPr>
          <w:p>
            <w:pPr>
              <w:jc w:val="center"/>
              <w:ind w:right="221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Insert Non-Affiliate Legend</w:t>
            </w:r>
            <w:r>
              <w:rPr>
                <w:rFonts w:ascii="Arial" w:cs="Arial" w:eastAsia="Arial" w:hAnsi="Arial"/>
                <w:sz w:val="18"/>
                <w:szCs w:val="18"/>
                <w:color w:val="auto"/>
                <w:w w:val="94"/>
              </w:rPr>
              <w:t>]</w:t>
            </w:r>
          </w:p>
        </w:tc>
        <w:tc>
          <w:tcPr>
            <w:tcW w:w="112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gridSpan w:val="3"/>
          </w:tcPr>
          <w:p>
            <w:pPr>
              <w:jc w:val="center"/>
              <w:ind w:right="223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12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gridSpan w:val="3"/>
          </w:tcPr>
          <w:p>
            <w:pPr>
              <w:jc w:val="center"/>
              <w:ind w:right="2210"/>
              <w:spacing w:after="0"/>
              <w:rPr>
                <w:sz w:val="20"/>
                <w:szCs w:val="20"/>
                <w:color w:val="auto"/>
              </w:rPr>
            </w:pPr>
            <w:r>
              <w:rPr>
                <w:rFonts w:ascii="Arial" w:cs="Arial" w:eastAsia="Arial" w:hAnsi="Arial"/>
                <w:sz w:val="18"/>
                <w:szCs w:val="18"/>
                <w:b w:val="1"/>
                <w:bCs w:val="1"/>
                <w:color w:val="auto"/>
                <w:w w:val="91"/>
              </w:rPr>
              <w:t>0.625% Convertible Senior Note due 2026</w:t>
            </w:r>
          </w:p>
        </w:tc>
        <w:tc>
          <w:tcPr>
            <w:tcW w:w="1120" w:type="dxa"/>
            <w:vAlign w:val="bottom"/>
          </w:tcPr>
          <w:p>
            <w:pPr>
              <w:spacing w:after="0"/>
              <w:rPr>
                <w:sz w:val="24"/>
                <w:szCs w:val="24"/>
                <w:color w:val="auto"/>
              </w:rPr>
            </w:pPr>
          </w:p>
        </w:tc>
      </w:tr>
      <w:tr>
        <w:trPr>
          <w:trHeight w:val="462"/>
        </w:trPr>
        <w:tc>
          <w:tcPr>
            <w:tcW w:w="1480" w:type="dxa"/>
            <w:vAlign w:val="bottom"/>
          </w:tcPr>
          <w:p>
            <w:pPr>
              <w:spacing w:after="0"/>
              <w:rPr>
                <w:sz w:val="20"/>
                <w:szCs w:val="20"/>
                <w:color w:val="auto"/>
              </w:rPr>
            </w:pPr>
            <w:r>
              <w:rPr>
                <w:rFonts w:ascii="Arial" w:cs="Arial" w:eastAsia="Arial" w:hAnsi="Arial"/>
                <w:sz w:val="18"/>
                <w:szCs w:val="18"/>
                <w:color w:val="auto"/>
              </w:rPr>
              <w:t>CUSIP No.:</w:t>
            </w:r>
          </w:p>
        </w:tc>
        <w:tc>
          <w:tcPr>
            <w:tcW w:w="1960" w:type="dxa"/>
            <w:vAlign w:val="bottom"/>
          </w:tcPr>
          <w:p>
            <w:pPr>
              <w:ind w:left="600"/>
              <w:spacing w:after="0"/>
              <w:rPr>
                <w:sz w:val="20"/>
                <w:szCs w:val="20"/>
                <w:color w:val="auto"/>
              </w:rPr>
            </w:pPr>
            <w:r>
              <w:rPr>
                <w:rFonts w:ascii="Arial" w:cs="Arial" w:eastAsia="Arial" w:hAnsi="Arial"/>
                <w:sz w:val="18"/>
                <w:szCs w:val="18"/>
                <w:color w:val="auto"/>
              </w:rPr>
              <w:t>22410J AA4</w:t>
            </w:r>
            <w:r>
              <w:rPr>
                <w:rFonts w:ascii="Arial" w:cs="Arial" w:eastAsia="Arial" w:hAnsi="Arial"/>
                <w:sz w:val="29"/>
                <w:szCs w:val="29"/>
                <w:color w:val="auto"/>
                <w:vertAlign w:val="superscript"/>
              </w:rPr>
              <w:t>*</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40" w:type="dxa"/>
            <w:vAlign w:val="bottom"/>
          </w:tcPr>
          <w:p>
            <w:pPr>
              <w:ind w:left="2600"/>
              <w:spacing w:after="0"/>
              <w:rPr>
                <w:sz w:val="20"/>
                <w:szCs w:val="20"/>
                <w:color w:val="auto"/>
              </w:rPr>
            </w:pPr>
            <w:r>
              <w:rPr>
                <w:rFonts w:ascii="Arial" w:cs="Arial" w:eastAsia="Arial" w:hAnsi="Arial"/>
                <w:sz w:val="18"/>
                <w:szCs w:val="18"/>
                <w:color w:val="auto"/>
              </w:rPr>
              <w:t>Certificate No.</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0"/>
        </w:trPr>
        <w:tc>
          <w:tcPr>
            <w:tcW w:w="1480" w:type="dxa"/>
            <w:vAlign w:val="bottom"/>
          </w:tcPr>
          <w:p>
            <w:pPr>
              <w:spacing w:after="0"/>
              <w:rPr>
                <w:sz w:val="20"/>
                <w:szCs w:val="20"/>
                <w:color w:val="auto"/>
              </w:rPr>
            </w:pPr>
            <w:r>
              <w:rPr>
                <w:rFonts w:ascii="Arial" w:cs="Arial" w:eastAsia="Arial" w:hAnsi="Arial"/>
                <w:sz w:val="18"/>
                <w:szCs w:val="18"/>
                <w:color w:val="auto"/>
              </w:rPr>
              <w:t>ISIN No.:</w:t>
            </w:r>
          </w:p>
        </w:tc>
        <w:tc>
          <w:tcPr>
            <w:tcW w:w="1960" w:type="dxa"/>
            <w:vAlign w:val="bottom"/>
          </w:tcPr>
          <w:p>
            <w:pPr>
              <w:ind w:left="600"/>
              <w:spacing w:after="0"/>
              <w:rPr>
                <w:sz w:val="20"/>
                <w:szCs w:val="20"/>
                <w:color w:val="auto"/>
              </w:rPr>
            </w:pPr>
            <w:r>
              <w:rPr>
                <w:rFonts w:ascii="Arial" w:cs="Arial" w:eastAsia="Arial" w:hAnsi="Arial"/>
                <w:sz w:val="18"/>
                <w:szCs w:val="18"/>
                <w:color w:val="auto"/>
                <w:w w:val="98"/>
              </w:rPr>
              <w:t>US22410JAA43</w:t>
            </w:r>
            <w:r>
              <w:rPr>
                <w:rFonts w:ascii="Arial" w:cs="Arial" w:eastAsia="Arial" w:hAnsi="Arial"/>
                <w:sz w:val="29"/>
                <w:szCs w:val="29"/>
                <w:color w:val="auto"/>
                <w:w w:val="98"/>
                <w:vertAlign w:val="superscript"/>
              </w:rPr>
              <w:t>*</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Cracker Barrel Old Country Store, Inc., a Tennessee corporation, for value received, promises to pay to Cede &amp; Co., or its registered assigns, the principal sum of ($300,000,000) (as revised by the attached Schedule of Exchanges of Interests in the Global Note)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on June 15, 2026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1120" w:right="3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June 15 and December 15 of each year, commencing on December 15, 2021.</w:t>
      </w:r>
    </w:p>
    <w:p>
      <w:pPr>
        <w:spacing w:after="0" w:line="211" w:lineRule="exact"/>
        <w:rPr>
          <w:sz w:val="20"/>
          <w:szCs w:val="20"/>
          <w:color w:val="auto"/>
        </w:rPr>
      </w:pPr>
    </w:p>
    <w:p>
      <w:pPr>
        <w:sectPr>
          <w:pgSz w:w="11900" w:h="16838" w:orient="portrait"/>
          <w:cols w:equalWidth="0" w:num="2">
            <w:col w:w="3140" w:space="720"/>
            <w:col w:w="7380"/>
          </w:cols>
          <w:pgMar w:left="320" w:top="1120"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Regular Record Dates: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June 1 and December 1.</w:t>
      </w:r>
    </w:p>
    <w:p>
      <w:pPr>
        <w:spacing w:after="0" w:line="211" w:lineRule="exact"/>
        <w:rPr>
          <w:sz w:val="20"/>
          <w:szCs w:val="20"/>
          <w:color w:val="auto"/>
        </w:rPr>
      </w:pPr>
    </w:p>
    <w:p>
      <w:pPr>
        <w:sectPr>
          <w:pgSz w:w="11900" w:h="16838" w:orient="portrait"/>
          <w:cols w:equalWidth="0" w:num="2">
            <w:col w:w="3140" w:space="720"/>
            <w:col w:w="7380"/>
          </w:cols>
          <w:pgMar w:left="320" w:top="1120"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jc w:val="both"/>
        <w:ind w:right="20" w:firstLine="8"/>
        <w:spacing w:after="0" w:line="250" w:lineRule="auto"/>
        <w:tabs>
          <w:tab w:leader="none" w:pos="1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This Note will be deemed to be identified by CUSIP No. 22410J AA4 and ISIN No. US22410JAA43 from and after such time when the Company delivers, pursuant to Section 2.12 of the within-mentioned Indenture, written notice to the Trustee of the deemed removal of the Restricted Note Legend affixed to this Note.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Insert bracketed language for Global Notes only.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94" w:name="page95"/>
    <w:bookmarkEnd w:id="94"/>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Cracker Barrel Old Country Store, Inc. has caused this instrument to be duly executed as of the date set forth below.</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RACKER</w:t>
      </w:r>
      <w:r>
        <w:rPr>
          <w:rFonts w:ascii="Arial" w:cs="Arial" w:eastAsia="Arial" w:hAnsi="Arial"/>
          <w:sz w:val="18"/>
          <w:szCs w:val="18"/>
          <w:color w:val="auto"/>
        </w:rPr>
        <w:t xml:space="preserve"> B</w:t>
      </w:r>
      <w:r>
        <w:rPr>
          <w:rFonts w:ascii="Arial" w:cs="Arial" w:eastAsia="Arial" w:hAnsi="Arial"/>
          <w:sz w:val="12"/>
          <w:szCs w:val="12"/>
          <w:color w:val="auto"/>
        </w:rPr>
        <w:t>ARREL</w:t>
      </w:r>
      <w:r>
        <w:rPr>
          <w:rFonts w:ascii="Arial" w:cs="Arial" w:eastAsia="Arial" w:hAnsi="Arial"/>
          <w:sz w:val="18"/>
          <w:szCs w:val="18"/>
          <w:color w:val="auto"/>
        </w:rPr>
        <w:t xml:space="preserve"> O</w:t>
      </w:r>
      <w:r>
        <w:rPr>
          <w:rFonts w:ascii="Arial" w:cs="Arial" w:eastAsia="Arial" w:hAnsi="Arial"/>
          <w:sz w:val="12"/>
          <w:szCs w:val="12"/>
          <w:color w:val="auto"/>
        </w:rPr>
        <w:t>LD</w:t>
      </w:r>
      <w:r>
        <w:rPr>
          <w:rFonts w:ascii="Arial" w:cs="Arial" w:eastAsia="Arial" w:hAnsi="Arial"/>
          <w:sz w:val="18"/>
          <w:szCs w:val="18"/>
          <w:color w:val="auto"/>
        </w:rPr>
        <w:t xml:space="preserve"> C</w:t>
      </w:r>
      <w:r>
        <w:rPr>
          <w:rFonts w:ascii="Arial" w:cs="Arial" w:eastAsia="Arial" w:hAnsi="Arial"/>
          <w:sz w:val="12"/>
          <w:szCs w:val="12"/>
          <w:color w:val="auto"/>
        </w:rPr>
        <w:t>OUNTRY</w:t>
      </w:r>
      <w:r>
        <w:rPr>
          <w:rFonts w:ascii="Arial" w:cs="Arial" w:eastAsia="Arial" w:hAnsi="Arial"/>
          <w:sz w:val="18"/>
          <w:szCs w:val="18"/>
          <w:color w:val="auto"/>
        </w:rPr>
        <w:t xml:space="preserve"> S</w:t>
      </w:r>
      <w:r>
        <w:rPr>
          <w:rFonts w:ascii="Arial" w:cs="Arial" w:eastAsia="Arial" w:hAnsi="Arial"/>
          <w:sz w:val="12"/>
          <w:szCs w:val="12"/>
          <w:color w:val="auto"/>
        </w:rPr>
        <w:t>TORE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79"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95" w:name="page96"/>
    <w:bookmarkEnd w:id="95"/>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Trustee, certifies that this is one of the Notes referred to in the within-mentioned Indenture.</w:t>
      </w:r>
    </w:p>
    <w:p>
      <w:pPr>
        <w:spacing w:after="0" w:line="248"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7722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7"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0.625% Convertible Senior Note due 2026</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This Note is one of a duly authorized issue of notes of Cracker Barrel Old Country Store, Inc., a Tennessee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designated as its 0.625% Convertible Senior Notes due 2026 (the “</w:t>
      </w:r>
      <w:r>
        <w:rPr>
          <w:rFonts w:ascii="Arial" w:cs="Arial" w:eastAsia="Arial" w:hAnsi="Arial"/>
          <w:sz w:val="17"/>
          <w:szCs w:val="17"/>
          <w:b w:val="1"/>
          <w:bCs w:val="1"/>
          <w:color w:val="auto"/>
        </w:rPr>
        <w:t>Notes</w:t>
      </w:r>
      <w:r>
        <w:rPr>
          <w:rFonts w:ascii="Arial" w:cs="Arial" w:eastAsia="Arial" w:hAnsi="Arial"/>
          <w:sz w:val="17"/>
          <w:szCs w:val="17"/>
          <w:color w:val="auto"/>
        </w:rPr>
        <w:t>”), all issued or to be issued pursuant to an indenture, dated as of June 18, 2021 (as the same may be amended from time to time,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Capitalized terms used in this Note without definition have the respective meanings ascribed to them in the Indenture.</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80" w:lineRule="exact"/>
        <w:rPr>
          <w:sz w:val="20"/>
          <w:szCs w:val="20"/>
          <w:color w:val="auto"/>
        </w:rPr>
      </w:pPr>
    </w:p>
    <w:p>
      <w:pPr>
        <w:ind w:right="20" w:firstLine="656"/>
        <w:spacing w:after="0" w:line="282" w:lineRule="auto"/>
        <w:tabs>
          <w:tab w:leader="none" w:pos="17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This Note will accrue interest at a rate and in the manner set forth in Section 2.05 of the Indenture. Stated Interest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will begin to accrue from, and including,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600" w:hanging="944"/>
        <w:spacing w:after="0"/>
        <w:tabs>
          <w:tab w:leader="none" w:pos="16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 This Note will mature on June 15, 2026, unless earlier repurchased, redeemed or converted.</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Method of Payment</w:t>
      </w:r>
      <w:r>
        <w:rPr>
          <w:rFonts w:ascii="Arial" w:cs="Arial" w:eastAsia="Arial" w:hAnsi="Arial"/>
          <w:sz w:val="17"/>
          <w:szCs w:val="17"/>
          <w:color w:val="auto"/>
        </w:rPr>
        <w:t>. Cash amounts due on this Note will be paid in the manner set forth in Section 2.04 of the Indenture.</w:t>
      </w:r>
    </w:p>
    <w:p>
      <w:pPr>
        <w:spacing w:after="0" w:line="236" w:lineRule="exact"/>
        <w:rPr>
          <w:rFonts w:ascii="Arial" w:cs="Arial" w:eastAsia="Arial" w:hAnsi="Arial"/>
          <w:sz w:val="17"/>
          <w:szCs w:val="17"/>
          <w:color w:val="auto"/>
        </w:rPr>
      </w:pPr>
    </w:p>
    <w:p>
      <w:pPr>
        <w:ind w:left="1600" w:hanging="944"/>
        <w:spacing w:after="0"/>
        <w:tabs>
          <w:tab w:leader="none" w:pos="16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Persons Deemed Owners</w:t>
      </w:r>
      <w:r>
        <w:rPr>
          <w:rFonts w:ascii="Arial" w:cs="Arial" w:eastAsia="Arial" w:hAnsi="Arial"/>
          <w:sz w:val="18"/>
          <w:szCs w:val="18"/>
          <w:color w:val="auto"/>
        </w:rPr>
        <w:t>. The Holder of this Note will be treated as the owner of this Note for all purposes.</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561"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Denominations; Transfers and Exchanges</w:t>
      </w:r>
      <w:r>
        <w:rPr>
          <w:rFonts w:ascii="Arial" w:cs="Arial" w:eastAsia="Arial" w:hAnsi="Arial"/>
          <w:sz w:val="18"/>
          <w:szCs w:val="18"/>
          <w:color w:val="auto"/>
        </w:rPr>
        <w:t>. All Notes will be in registered form, without coupons, in principal amounts equal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5" w:lineRule="exact"/>
        <w:rPr>
          <w:rFonts w:ascii="Arial" w:cs="Arial" w:eastAsia="Arial" w:hAnsi="Arial"/>
          <w:sz w:val="18"/>
          <w:szCs w:val="18"/>
          <w:color w:val="auto"/>
        </w:rPr>
      </w:pPr>
    </w:p>
    <w:p>
      <w:pPr>
        <w:jc w:val="both"/>
        <w:ind w:right="20" w:firstLine="656"/>
        <w:spacing w:after="0" w:line="266" w:lineRule="auto"/>
        <w:tabs>
          <w:tab w:leader="none" w:pos="1606"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Right of Holders to Require the Company to Repurchase Notes upon a Fundamental Change</w:t>
      </w:r>
      <w:r>
        <w:rPr>
          <w:rFonts w:ascii="Arial" w:cs="Arial" w:eastAsia="Arial" w:hAnsi="Arial"/>
          <w:sz w:val="18"/>
          <w:szCs w:val="18"/>
          <w:color w:val="auto"/>
        </w:rPr>
        <w:t>. If a Fundamental Change occurs,</w:t>
      </w:r>
      <w:r>
        <w:rPr>
          <w:rFonts w:ascii="Arial" w:cs="Arial" w:eastAsia="Arial" w:hAnsi="Arial"/>
          <w:sz w:val="18"/>
          <w:szCs w:val="18"/>
          <w:b w:val="1"/>
          <w:bCs w:val="1"/>
          <w:color w:val="auto"/>
        </w:rPr>
        <w:t xml:space="preserve"> </w:t>
      </w:r>
      <w:r>
        <w:rPr>
          <w:rFonts w:ascii="Arial" w:cs="Arial" w:eastAsia="Arial" w:hAnsi="Arial"/>
          <w:sz w:val="18"/>
          <w:szCs w:val="18"/>
          <w:color w:val="auto"/>
        </w:rPr>
        <w:t>then each Holder will have the right to require the Company to repurchase such Holder’s Notes (or any portion thereof in an Authorized Denomination) for cash in the manner, and subject to the terms, set forth in Section 4.02 of the Indenture.</w:t>
      </w:r>
    </w:p>
    <w:p>
      <w:pPr>
        <w:spacing w:after="0" w:line="175" w:lineRule="exact"/>
        <w:rPr>
          <w:rFonts w:ascii="Arial" w:cs="Arial" w:eastAsia="Arial" w:hAnsi="Arial"/>
          <w:sz w:val="18"/>
          <w:szCs w:val="18"/>
          <w:color w:val="auto"/>
        </w:rPr>
      </w:pPr>
    </w:p>
    <w:p>
      <w:pPr>
        <w:ind w:right="20" w:firstLine="656"/>
        <w:spacing w:after="0" w:line="282" w:lineRule="auto"/>
        <w:tabs>
          <w:tab w:leader="none" w:pos="1709"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Right of the Company to Redeem the Notes</w:t>
      </w:r>
      <w:r>
        <w:rPr>
          <w:rFonts w:ascii="Arial" w:cs="Arial" w:eastAsia="Arial" w:hAnsi="Arial"/>
          <w:sz w:val="18"/>
          <w:szCs w:val="18"/>
          <w:color w:val="auto"/>
        </w:rPr>
        <w:t>. The Company will have the right to redeem the Notes for cash in the manner,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set forth in Section 4.03 of the Indenture..</w:t>
      </w:r>
    </w:p>
    <w:p>
      <w:pPr>
        <w:spacing w:after="0" w:line="161" w:lineRule="exact"/>
        <w:rPr>
          <w:rFonts w:ascii="Arial" w:cs="Arial" w:eastAsia="Arial" w:hAnsi="Arial"/>
          <w:sz w:val="18"/>
          <w:szCs w:val="18"/>
          <w:color w:val="auto"/>
        </w:rPr>
      </w:pPr>
    </w:p>
    <w:p>
      <w:pPr>
        <w:ind w:firstLine="656"/>
        <w:spacing w:after="0" w:line="282" w:lineRule="auto"/>
        <w:tabs>
          <w:tab w:leader="none" w:pos="1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 The Holder of this Note may convert this Note into Conversion Consideration in the manner,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Article 5 of the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656"/>
        <w:spacing w:after="0" w:line="282" w:lineRule="auto"/>
        <w:tabs>
          <w:tab w:leader="none" w:pos="1561"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When the Company May Merge, Etc</w:t>
      </w:r>
      <w:r>
        <w:rPr>
          <w:rFonts w:ascii="Arial" w:cs="Arial" w:eastAsia="Arial" w:hAnsi="Arial"/>
          <w:sz w:val="18"/>
          <w:szCs w:val="18"/>
          <w:color w:val="auto"/>
        </w:rPr>
        <w:t>. Article 6 of the Indenture places limited restrictions on the Company’s ability to be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a Business Combination Event.</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543"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Defaults and Remedies</w:t>
      </w:r>
      <w:r>
        <w:rPr>
          <w:rFonts w:ascii="Arial" w:cs="Arial" w:eastAsia="Arial" w:hAnsi="Arial"/>
          <w:sz w:val="18"/>
          <w:szCs w:val="18"/>
          <w:color w:val="auto"/>
        </w:rPr>
        <w:t>. If an Event of Default occurs, then the principal amount of, and all accrued and unpaid interest on,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then outstanding may (and, in certain circumstances, will automatically) become due and payable in the manner, and subject to the terms, set forth in Article 7 of the Indenture.</w:t>
      </w:r>
    </w:p>
    <w:p>
      <w:pPr>
        <w:spacing w:after="0" w:line="175" w:lineRule="exact"/>
        <w:rPr>
          <w:rFonts w:ascii="Arial" w:cs="Arial" w:eastAsia="Arial" w:hAnsi="Arial"/>
          <w:sz w:val="18"/>
          <w:szCs w:val="18"/>
          <w:color w:val="auto"/>
        </w:rPr>
      </w:pPr>
    </w:p>
    <w:p>
      <w:pPr>
        <w:ind w:firstLine="656"/>
        <w:spacing w:after="0" w:line="347" w:lineRule="auto"/>
        <w:tabs>
          <w:tab w:leader="none" w:pos="1586"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Amendments, Supplements and Waivers</w:t>
      </w:r>
      <w:r>
        <w:rPr>
          <w:rFonts w:ascii="Arial" w:cs="Arial" w:eastAsia="Arial" w:hAnsi="Arial"/>
          <w:sz w:val="16"/>
          <w:szCs w:val="16"/>
          <w:color w:val="auto"/>
        </w:rPr>
        <w:t>. The Company and the Trustee may amend or supplement the Indenture or the Notes or</w:t>
      </w:r>
      <w:r>
        <w:rPr>
          <w:rFonts w:ascii="Arial" w:cs="Arial" w:eastAsia="Arial" w:hAnsi="Arial"/>
          <w:sz w:val="16"/>
          <w:szCs w:val="16"/>
          <w:b w:val="1"/>
          <w:bCs w:val="1"/>
          <w:color w:val="auto"/>
        </w:rPr>
        <w:t xml:space="preserve"> </w:t>
      </w:r>
      <w:r>
        <w:rPr>
          <w:rFonts w:ascii="Arial" w:cs="Arial" w:eastAsia="Arial" w:hAnsi="Arial"/>
          <w:sz w:val="16"/>
          <w:szCs w:val="16"/>
          <w:color w:val="auto"/>
        </w:rPr>
        <w:t>waive compliance with any provision of the Indenture or the Notes in the manner, and subject to the terms, set forth in Article 8 of the Indenture.</w:t>
      </w:r>
    </w:p>
    <w:p>
      <w:pPr>
        <w:spacing w:after="0" w:line="115" w:lineRule="exact"/>
        <w:rPr>
          <w:rFonts w:ascii="Arial" w:cs="Arial" w:eastAsia="Arial" w:hAnsi="Arial"/>
          <w:sz w:val="16"/>
          <w:szCs w:val="16"/>
          <w:color w:val="auto"/>
        </w:rPr>
      </w:pPr>
    </w:p>
    <w:p>
      <w:pPr>
        <w:jc w:val="both"/>
        <w:ind w:firstLine="656"/>
        <w:spacing w:after="0" w:line="261" w:lineRule="auto"/>
        <w:tabs>
          <w:tab w:leader="none" w:pos="1566"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No Personal Liability of Directors, Officers, Employees and Stockholders</w:t>
      </w:r>
      <w:r>
        <w:rPr>
          <w:rFonts w:ascii="Arial" w:cs="Arial" w:eastAsia="Arial" w:hAnsi="Arial"/>
          <w:sz w:val="18"/>
          <w:szCs w:val="18"/>
          <w:color w:val="auto"/>
        </w:rPr>
        <w:t>. No past, present or future director, officer,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9" w:lineRule="exact"/>
        <w:rPr>
          <w:rFonts w:ascii="Arial" w:cs="Arial" w:eastAsia="Arial" w:hAnsi="Arial"/>
          <w:sz w:val="18"/>
          <w:szCs w:val="18"/>
          <w:color w:val="auto"/>
        </w:rPr>
      </w:pPr>
    </w:p>
    <w:p>
      <w:pPr>
        <w:ind w:firstLine="656"/>
        <w:spacing w:after="0" w:line="347" w:lineRule="auto"/>
        <w:tabs>
          <w:tab w:leader="none" w:pos="1566"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Authentication</w:t>
      </w:r>
      <w:r>
        <w:rPr>
          <w:rFonts w:ascii="Arial" w:cs="Arial" w:eastAsia="Arial" w:hAnsi="Arial"/>
          <w:sz w:val="16"/>
          <w:szCs w:val="16"/>
          <w:color w:val="auto"/>
        </w:rPr>
        <w:t>. No Note will be valid until it is authenticated by the Trustee. A Note will be deemed to be duly authenticated only</w:t>
      </w:r>
      <w:r>
        <w:rPr>
          <w:rFonts w:ascii="Arial" w:cs="Arial" w:eastAsia="Arial" w:hAnsi="Arial"/>
          <w:sz w:val="16"/>
          <w:szCs w:val="16"/>
          <w:b w:val="1"/>
          <w:bCs w:val="1"/>
          <w:color w:val="auto"/>
        </w:rPr>
        <w:t xml:space="preserve"> </w:t>
      </w:r>
      <w:r>
        <w:rPr>
          <w:rFonts w:ascii="Arial" w:cs="Arial" w:eastAsia="Arial" w:hAnsi="Arial"/>
          <w:sz w:val="16"/>
          <w:szCs w:val="16"/>
          <w:color w:val="auto"/>
        </w:rPr>
        <w:t>when an authorized signatory of the Trustee (or a duly appointed authenticating agent) manually signs the certificate of authentication of such Note.</w:t>
      </w:r>
    </w:p>
    <w:p>
      <w:pPr>
        <w:spacing w:after="0" w:line="115" w:lineRule="exact"/>
        <w:rPr>
          <w:rFonts w:ascii="Arial" w:cs="Arial" w:eastAsia="Arial" w:hAnsi="Arial"/>
          <w:sz w:val="16"/>
          <w:szCs w:val="16"/>
          <w:color w:val="auto"/>
        </w:rPr>
      </w:pPr>
    </w:p>
    <w:p>
      <w:pPr>
        <w:jc w:val="both"/>
        <w:ind w:firstLine="656"/>
        <w:spacing w:after="0" w:line="266" w:lineRule="auto"/>
        <w:tabs>
          <w:tab w:leader="none" w:pos="1755"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Abbreviations</w:t>
      </w:r>
      <w:r>
        <w:rPr>
          <w:rFonts w:ascii="Arial" w:cs="Arial" w:eastAsia="Arial" w:hAnsi="Arial"/>
          <w:sz w:val="18"/>
          <w:szCs w:val="18"/>
          <w:color w:val="auto"/>
        </w:rPr>
        <w:t>. Customary abbreviations may be used in the name of a Holder or its assignee, such as TEN COM (tenants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common), TEN ENT (tenants by the entireties), JT TEN (joint tenants with right of survivorship and not as tenants in common), CUST (custodian), and U/G/M/A (Uniform Gift to Minors Act).</w:t>
      </w:r>
    </w:p>
    <w:p>
      <w:pPr>
        <w:spacing w:after="0" w:line="175" w:lineRule="exact"/>
        <w:rPr>
          <w:rFonts w:ascii="Arial" w:cs="Arial" w:eastAsia="Arial" w:hAnsi="Arial"/>
          <w:sz w:val="18"/>
          <w:szCs w:val="18"/>
          <w:color w:val="auto"/>
        </w:rPr>
      </w:pPr>
    </w:p>
    <w:p>
      <w:pPr>
        <w:ind w:firstLine="656"/>
        <w:spacing w:after="0" w:line="282" w:lineRule="auto"/>
        <w:tabs>
          <w:tab w:leader="none" w:pos="1552"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NOTE, AND ANY CLAIM, CONTROVERSY OR DISPUTE ARISING UNDER OR RELATED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WILL BE GOVERNED BY AND CONSTRUED IN ACCORDANCE WITH THE LAWS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request a copy of the Indenture, which the Company will provide to any Holder at no charge, please send a written request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311 Hartmann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Lebanon, Tennessee 37087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Office of the General Counsel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SCHEDULE OF EXCHANGES OF INTERESTS IN THE GLOBAL NOTE</w:t>
      </w:r>
      <w:r>
        <w:rPr>
          <w:rFonts w:ascii="Arial" w:cs="Arial" w:eastAsia="Arial" w:hAnsi="Arial"/>
          <w:sz w:val="29"/>
          <w:szCs w:val="29"/>
          <w:color w:val="auto"/>
          <w:vertAlign w:val="superscript"/>
        </w:rPr>
        <w:t>*</w:t>
      </w:r>
    </w:p>
    <w:p>
      <w:pPr>
        <w:spacing w:after="0" w:line="13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PRINCIPAL AMOUNT OF THIS GLOBAL NOTE: $300,000,000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transfers or cancellations of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Amount of Increase</w:t>
            </w:r>
          </w:p>
        </w:tc>
        <w:tc>
          <w:tcPr>
            <w:tcW w:w="29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Principal Amount of</w:t>
            </w:r>
          </w:p>
        </w:tc>
        <w:tc>
          <w:tcPr>
            <w:tcW w:w="23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(Decrease) in</w:t>
            </w:r>
          </w:p>
        </w:tc>
        <w:tc>
          <w:tcPr>
            <w:tcW w:w="2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this Global Note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Principal Amount of this</w:t>
            </w:r>
          </w:p>
        </w:tc>
        <w:tc>
          <w:tcPr>
            <w:tcW w:w="29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After Such Increase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w:t>
            </w:r>
          </w:p>
        </w:tc>
      </w:tr>
      <w:tr>
        <w:trPr>
          <w:trHeight w:val="234"/>
        </w:trPr>
        <w:tc>
          <w:tcPr>
            <w:tcW w:w="2960" w:type="dxa"/>
            <w:vAlign w:val="bottom"/>
            <w:gridSpan w:val="2"/>
          </w:tcPr>
          <w:p>
            <w:pPr>
              <w:ind w:left="1000"/>
              <w:spacing w:after="0"/>
              <w:rPr>
                <w:sz w:val="20"/>
                <w:szCs w:val="20"/>
                <w:color w:val="auto"/>
              </w:rPr>
            </w:pPr>
            <w:r>
              <w:rPr>
                <w:rFonts w:ascii="Arial" w:cs="Arial" w:eastAsia="Arial" w:hAnsi="Arial"/>
                <w:sz w:val="18"/>
                <w:szCs w:val="18"/>
                <w:b w:val="1"/>
                <w:bCs w:val="1"/>
                <w:color w:val="auto"/>
              </w:rPr>
              <w:t>Date</w:t>
            </w:r>
          </w:p>
        </w:tc>
        <w:tc>
          <w:tcPr>
            <w:tcW w:w="29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Global Note</w:t>
            </w:r>
          </w:p>
        </w:tc>
        <w:tc>
          <w:tcPr>
            <w:tcW w:w="29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(Decrease)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 Trustee</w:t>
            </w:r>
          </w:p>
        </w:tc>
      </w:tr>
      <w:tr>
        <w:trPr>
          <w:trHeight w:val="304"/>
        </w:trPr>
        <w:tc>
          <w:tcPr>
            <w:tcW w:w="2380" w:type="dxa"/>
            <w:vAlign w:val="bottom"/>
            <w:tcBorders>
              <w:top w:val="single" w:sz="8" w:color="auto"/>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304"/>
        </w:trPr>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Insert for Global Notes only.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0.625% Convertible Senior Notes due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of the Indenture, by executing and delivering this Conversion Notice, the undersigned Holder of the Note identified below directs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to convert (check one):</w:t>
      </w:r>
    </w:p>
    <w:p>
      <w:pPr>
        <w:spacing w:after="0" w:line="211" w:lineRule="exact"/>
        <w:rPr>
          <w:sz w:val="20"/>
          <w:szCs w:val="20"/>
          <w:color w:val="auto"/>
        </w:rPr>
      </w:pPr>
    </w:p>
    <w:p>
      <w:pPr>
        <w:ind w:left="340" w:hanging="332"/>
        <w:spacing w:after="0"/>
        <w:tabs>
          <w:tab w:leader="none" w:pos="34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the entire principal amount of</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420" w:type="dxa"/>
            <w:vAlign w:val="bottom"/>
          </w:tcPr>
          <w:p>
            <w:pPr>
              <w:spacing w:after="0" w:line="403" w:lineRule="exact"/>
              <w:rPr>
                <w:sz w:val="20"/>
                <w:szCs w:val="20"/>
                <w:color w:val="auto"/>
              </w:rPr>
            </w:pPr>
            <w:r>
              <w:rPr>
                <w:rFonts w:ascii="MS PGothic" w:cs="MS PGothic" w:eastAsia="MS PGothic" w:hAnsi="MS PGothic"/>
                <w:sz w:val="18"/>
                <w:szCs w:val="18"/>
                <w:color w:val="auto"/>
              </w:rPr>
              <w:t xml:space="preserve">☐ </w:t>
            </w:r>
            <w:r>
              <w:rPr>
                <w:rFonts w:ascii="Arial" w:cs="Arial" w:eastAsia="Arial" w:hAnsi="Arial"/>
                <w:sz w:val="35"/>
                <w:szCs w:val="35"/>
                <w:color w:val="auto"/>
                <w:vertAlign w:val="subscript"/>
              </w:rPr>
              <w:t>$</w:t>
            </w:r>
          </w:p>
        </w:tc>
        <w:tc>
          <w:tcPr>
            <w:tcW w:w="940" w:type="dxa"/>
            <w:vAlign w:val="bottom"/>
            <w:tcBorders>
              <w:bottom w:val="single" w:sz="8" w:color="auto"/>
            </w:tcBorders>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aggregate principal amount of</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500" w:type="dxa"/>
            <w:vAlign w:val="bottom"/>
            <w:gridSpan w:val="3"/>
          </w:tcPr>
          <w:p>
            <w:pPr>
              <w:spacing w:after="0"/>
              <w:rPr>
                <w:sz w:val="20"/>
                <w:szCs w:val="20"/>
                <w:color w:val="auto"/>
              </w:rPr>
            </w:pPr>
            <w:r>
              <w:rPr>
                <w:rFonts w:ascii="Arial" w:cs="Arial" w:eastAsia="Arial" w:hAnsi="Arial"/>
                <w:sz w:val="18"/>
                <w:szCs w:val="18"/>
                <w:color w:val="auto"/>
                <w:w w:val="94"/>
              </w:rPr>
              <w:t>the Note identified by CUSIP No.</w:t>
            </w:r>
          </w:p>
        </w:tc>
        <w:tc>
          <w:tcPr>
            <w:tcW w:w="980" w:type="dxa"/>
            <w:vAlign w:val="bottom"/>
            <w:tcBorders>
              <w:bottom w:val="single" w:sz="8" w:color="auto"/>
            </w:tcBorders>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3"/>
              </w:rPr>
              <w:t>and Certificate No.</w:t>
            </w:r>
          </w:p>
        </w:tc>
        <w:tc>
          <w:tcPr>
            <w:tcW w:w="94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Must be an Authorized Denomination.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FUNDAMENTAL CHANGE REPURCHASE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0.625% Convertible Senior Notes due 2026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70"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entire principal amount of</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430"/>
        </w:trPr>
        <w:tc>
          <w:tcPr>
            <w:tcW w:w="420" w:type="dxa"/>
            <w:vAlign w:val="bottom"/>
          </w:tcPr>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35"/>
                <w:szCs w:val="35"/>
                <w:color w:val="auto"/>
                <w:vertAlign w:val="subscript"/>
              </w:rPr>
              <w:t>$</w:t>
            </w:r>
          </w:p>
        </w:tc>
        <w:tc>
          <w:tcPr>
            <w:tcW w:w="940" w:type="dxa"/>
            <w:vAlign w:val="bottom"/>
            <w:tcBorders>
              <w:bottom w:val="single" w:sz="8" w:color="auto"/>
            </w:tcBorders>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aggregate principal amount of</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500" w:type="dxa"/>
            <w:vAlign w:val="bottom"/>
            <w:gridSpan w:val="3"/>
          </w:tcPr>
          <w:p>
            <w:pPr>
              <w:spacing w:after="0"/>
              <w:rPr>
                <w:sz w:val="20"/>
                <w:szCs w:val="20"/>
                <w:color w:val="auto"/>
              </w:rPr>
            </w:pPr>
            <w:r>
              <w:rPr>
                <w:rFonts w:ascii="Arial" w:cs="Arial" w:eastAsia="Arial" w:hAnsi="Arial"/>
                <w:sz w:val="18"/>
                <w:szCs w:val="18"/>
                <w:color w:val="auto"/>
                <w:w w:val="94"/>
              </w:rPr>
              <w:t>the Note identified by CUSIP No.</w:t>
            </w:r>
          </w:p>
        </w:tc>
        <w:tc>
          <w:tcPr>
            <w:tcW w:w="980" w:type="dxa"/>
            <w:vAlign w:val="bottom"/>
            <w:tcBorders>
              <w:bottom w:val="single" w:sz="8" w:color="auto"/>
            </w:tcBorders>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3"/>
              </w:rPr>
              <w:t>and Certificate No.</w:t>
            </w:r>
          </w:p>
        </w:tc>
        <w:tc>
          <w:tcPr>
            <w:tcW w:w="94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acknowledges that this Note, duly endorsed for transfer, must be delivered to the Paying Agent before the Fundamental Change Repurchase Price will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Must be an Authorized Denomination.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center"/>
        <w:ind w:right="-1120"/>
        <w:spacing w:after="0"/>
        <w:rPr>
          <w:sz w:val="20"/>
          <w:szCs w:val="20"/>
          <w:color w:val="auto"/>
        </w:rPr>
      </w:pPr>
      <w:r>
        <w:rPr>
          <w:rFonts w:ascii="Arial" w:cs="Arial" w:eastAsia="Arial" w:hAnsi="Arial"/>
          <w:sz w:val="18"/>
          <w:szCs w:val="18"/>
          <w:b w:val="1"/>
          <w:bCs w:val="1"/>
          <w:color w:val="auto"/>
        </w:rPr>
        <w:t>ASSIGNMENT FORM</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0.625% Convertible Senior Notes due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Indenture, the undersigned Holder of the within Note assigns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6350</wp:posOffset>
            </wp:positionV>
            <wp:extent cx="2846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6350</wp:posOffset>
            </wp:positionV>
            <wp:extent cx="28460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wp:posOffset>
            </wp:positionV>
            <wp:extent cx="28460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irrevocably appoints: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center"/>
        <w:ind w:left="5620"/>
        <w:spacing w:after="0"/>
        <w:rPr>
          <w:sz w:val="20"/>
          <w:szCs w:val="20"/>
          <w:color w:val="auto"/>
        </w:rPr>
      </w:pPr>
      <w:r>
        <w:rPr>
          <w:rFonts w:ascii="Arial" w:cs="Arial" w:eastAsia="Arial" w:hAnsi="Arial"/>
          <w:sz w:val="16"/>
          <w:szCs w:val="16"/>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-115570</wp:posOffset>
            </wp:positionV>
            <wp:extent cx="3557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2" w:name="page103"/>
    <w:bookmarkEnd w:id="102"/>
    <w:p>
      <w:pPr>
        <w:ind w:left="4060"/>
        <w:spacing w:after="0"/>
        <w:rPr>
          <w:sz w:val="20"/>
          <w:szCs w:val="20"/>
          <w:color w:val="auto"/>
        </w:rPr>
      </w:pPr>
      <w:r>
        <w:rPr>
          <w:rFonts w:ascii="Arial" w:cs="Arial" w:eastAsia="Arial" w:hAnsi="Arial"/>
          <w:sz w:val="18"/>
          <w:szCs w:val="18"/>
          <w:color w:val="auto"/>
        </w:rPr>
        <w:t>TRANSFEROR ACKNOWLEDGEMENT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within Note bears a Restricted Note Legend, the undersigned further certifies that (check one):</w:t>
      </w:r>
    </w:p>
    <w:p>
      <w:pPr>
        <w:spacing w:after="0" w:line="225"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   Such Transfer is being made to the Company or a Subsidiary of the Company.</w:t>
      </w:r>
    </w:p>
    <w:p>
      <w:pPr>
        <w:spacing w:after="0" w:line="225" w:lineRule="exact"/>
        <w:rPr>
          <w:rFonts w:ascii="Arial" w:cs="Arial" w:eastAsia="Arial" w:hAnsi="Arial"/>
          <w:sz w:val="18"/>
          <w:szCs w:val="18"/>
          <w:color w:val="auto"/>
        </w:rPr>
      </w:pPr>
    </w:p>
    <w:p>
      <w:pPr>
        <w:ind w:left="980" w:hanging="972"/>
        <w:spacing w:after="0" w:line="277" w:lineRule="auto"/>
        <w:tabs>
          <w:tab w:leader="none" w:pos="6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 Such Transfer is being made pursuant to, and in accordance with, a registration statement that is effective under the Securities Act at the time of the Transfer.</w:t>
      </w:r>
    </w:p>
    <w:p>
      <w:pPr>
        <w:spacing w:after="0" w:line="170" w:lineRule="exact"/>
        <w:rPr>
          <w:rFonts w:ascii="Arial" w:cs="Arial" w:eastAsia="Arial" w:hAnsi="Arial"/>
          <w:sz w:val="18"/>
          <w:szCs w:val="18"/>
          <w:color w:val="auto"/>
        </w:rPr>
      </w:pPr>
    </w:p>
    <w:p>
      <w:pPr>
        <w:ind w:left="980" w:hanging="972"/>
        <w:spacing w:after="0" w:line="257" w:lineRule="auto"/>
        <w:tabs>
          <w:tab w:leader="none" w:pos="6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w:t>
      </w:r>
    </w:p>
    <w:p>
      <w:pPr>
        <w:spacing w:after="0" w:line="187" w:lineRule="exact"/>
        <w:rPr>
          <w:rFonts w:ascii="Arial" w:cs="Arial" w:eastAsia="Arial" w:hAnsi="Arial"/>
          <w:sz w:val="18"/>
          <w:szCs w:val="18"/>
          <w:color w:val="auto"/>
        </w:rPr>
      </w:pPr>
    </w:p>
    <w:p>
      <w:pPr>
        <w:ind w:left="980" w:hanging="972"/>
        <w:spacing w:after="0" w:line="277" w:lineRule="auto"/>
        <w:tabs>
          <w:tab w:leader="none" w:pos="6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 Such Transfer is being made pursuant to, and in accordance with, any other available exemption from the registration requirements of the Securities Act (including, if available, the exemption provided by Rule 144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007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087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007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center"/>
        <w:ind w:right="554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087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3" w:lineRule="exact"/>
        <w:rPr>
          <w:sz w:val="20"/>
          <w:szCs w:val="20"/>
          <w:color w:val="auto"/>
        </w:rPr>
      </w:pPr>
    </w:p>
    <w:p>
      <w:pPr>
        <w:jc w:val="center"/>
        <w:ind w:right="554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007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RESTRICTED NOTE LEGEND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87" w:lineRule="exact"/>
        <w:rPr>
          <w:sz w:val="20"/>
          <w:szCs w:val="20"/>
          <w:color w:val="auto"/>
        </w:rPr>
      </w:pPr>
    </w:p>
    <w:p>
      <w:pPr>
        <w:jc w:val="both"/>
        <w:ind w:left="660" w:hanging="652"/>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OR OTHERWISE TRANSFER THIS NOTE OR ANY BENEFICIAL INTEREST HEREIN, EXCEPT ONLY: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THE COMPANY OR ANY SUBSIDIARY THEREOF;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PURSUANT TO A REGISTRATION STATEMENT THAT HAS BECOME EFFECTIVE UNDER THE SECURITIES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PURSUANT TO RULE 144 UNDER THE SECURITIES ACT;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PURSUANT TO ANY OTHER EXEMPTION FROM, OR IN A TRANSACTION NOT SUBJECT TO, THE REGISTRATION REQUIREMENTS OF THE SECURITIES ACT.</w:t>
      </w:r>
    </w:p>
    <w:p>
      <w:pPr>
        <w:spacing w:after="0" w:line="17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r>
        <w:rPr>
          <w:rFonts w:ascii="Arial" w:cs="Arial" w:eastAsia="Arial" w:hAnsi="Arial"/>
          <w:sz w:val="29"/>
          <w:szCs w:val="29"/>
          <w:color w:val="auto"/>
          <w:vertAlign w:val="superscript"/>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7" w:lineRule="exact"/>
        <w:rPr>
          <w:sz w:val="20"/>
          <w:szCs w:val="20"/>
          <w:color w:val="auto"/>
        </w:rPr>
      </w:pPr>
    </w:p>
    <w:p>
      <w:pPr>
        <w:ind w:firstLine="8"/>
        <w:spacing w:after="0" w:line="260" w:lineRule="auto"/>
        <w:tabs>
          <w:tab w:leader="none" w:pos="1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GLOBAL NOTE LEGEND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DTC), ANY TRANSFER, PLEDGE OR OTHER USE HEREOF FOR VALUE OR OTHERWISE BY OR TO ANY PERSON IS WRONGFUL SINCE THE REGISTERED OWNER HEREOF, CEDE &amp; CO., HAS AN INTEREST HEREIN.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NON-AFFILIATE LEGEND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AFFILIATE (AS DEFINED IN RULE 144 UNDER THE SECURITIES ACT OF 1933, AS AMENDED) OF THE COMPANY, OR ANY PERSON OR ENTITY THAT WAS AN AFFILIATE (AS DEFINED UNDER RULE 144 UNDER THE SECURITIES ACT OF 1933, AS AMENDED) OF THE COMPANY WITHIN THE THREE MONTHS IMMEDIATELY PRECEDING, MAY PURCHASE OR OTHERWISE ACQUIRE THIS NOTE OR ANY BENEFICIAL INTEREST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[Dealer Address]</w:t>
      </w:r>
    </w:p>
    <w:p>
      <w:pPr>
        <w:spacing w:after="0" w:line="200" w:lineRule="exact"/>
        <w:rPr>
          <w:sz w:val="20"/>
          <w:szCs w:val="20"/>
          <w:color w:val="auto"/>
        </w:rPr>
      </w:pPr>
    </w:p>
    <w:p>
      <w:pPr>
        <w:spacing w:after="0" w:line="241" w:lineRule="exact"/>
        <w:rPr>
          <w:sz w:val="20"/>
          <w:szCs w:val="20"/>
          <w:color w:val="auto"/>
        </w:rPr>
      </w:pPr>
    </w:p>
    <w:p>
      <w:pPr>
        <w:ind w:left="9440"/>
        <w:spacing w:after="0"/>
        <w:rPr>
          <w:sz w:val="20"/>
          <w:szCs w:val="20"/>
          <w:color w:val="auto"/>
        </w:rPr>
      </w:pPr>
      <w:r>
        <w:rPr>
          <w:rFonts w:ascii="Arial" w:cs="Arial" w:eastAsia="Arial" w:hAnsi="Arial"/>
          <w:sz w:val="16"/>
          <w:szCs w:val="16"/>
          <w:color w:val="auto"/>
        </w:rPr>
        <w:t>[June 15][June 16], 2021</w:t>
      </w:r>
    </w:p>
    <w:p>
      <w:pPr>
        <w:sectPr>
          <w:pgSz w:w="11900" w:h="16838" w:orient="portrait"/>
          <w:cols w:equalWidth="0" w:num="1">
            <w:col w:w="11240"/>
          </w:cols>
          <w:pgMar w:left="320" w:top="337"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Cracker Barrel Old Country Store,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305 Hartmann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787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 Tennessee 37088-0787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[______]</w:t>
      </w:r>
    </w:p>
    <w:p>
      <w:pPr>
        <w:spacing w:after="0" w:line="200" w:lineRule="exact"/>
        <w:rPr>
          <w:sz w:val="20"/>
          <w:szCs w:val="20"/>
          <w:color w:val="auto"/>
        </w:rPr>
      </w:pPr>
    </w:p>
    <w:p>
      <w:pPr>
        <w:sectPr>
          <w:pgSz w:w="11900" w:h="16838" w:orient="portrait"/>
          <w:cols w:equalWidth="0" w:num="2">
            <w:col w:w="240" w:space="420"/>
            <w:col w:w="10580"/>
          </w:cols>
          <w:pgMar w:left="320" w:top="337"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[Base][Additional] Call Option Transaction</w:t>
      </w:r>
    </w:p>
    <w:p>
      <w:pPr>
        <w:spacing w:after="0" w:line="200" w:lineRule="exact"/>
        <w:rPr>
          <w:sz w:val="20"/>
          <w:szCs w:val="20"/>
          <w:color w:val="auto"/>
        </w:rPr>
      </w:pPr>
    </w:p>
    <w:p>
      <w:pPr>
        <w:sectPr>
          <w:pgSz w:w="11900" w:h="16838" w:orient="portrait"/>
          <w:cols w:equalWidth="0" w:num="2">
            <w:col w:w="260" w:space="440"/>
            <w:col w:w="10540"/>
          </w:cols>
          <w:pgMar w:left="320" w:top="337" w:right="339" w:bottom="1440" w:gutter="0" w:footer="0" w:header="0"/>
          <w:type w:val="continuous"/>
        </w:sectPr>
      </w:pPr>
    </w:p>
    <w:p>
      <w:pPr>
        <w:spacing w:after="0" w:line="4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The purpose of this letter agreement (this “</w:t>
      </w:r>
      <w:r>
        <w:rPr>
          <w:rFonts w:ascii="Arial" w:cs="Arial" w:eastAsia="Arial" w:hAnsi="Arial"/>
          <w:sz w:val="17"/>
          <w:szCs w:val="17"/>
          <w:b w:val="1"/>
          <w:bCs w:val="1"/>
          <w:color w:val="auto"/>
        </w:rPr>
        <w:t>Confirmation</w:t>
      </w:r>
      <w:r>
        <w:rPr>
          <w:rFonts w:ascii="Arial" w:cs="Arial" w:eastAsia="Arial" w:hAnsi="Arial"/>
          <w:sz w:val="17"/>
          <w:szCs w:val="17"/>
          <w:color w:val="auto"/>
        </w:rPr>
        <w:t>”) is to confirm the terms and conditions of the call option transaction entered into between [Dealer] (“</w:t>
      </w:r>
      <w:r>
        <w:rPr>
          <w:rFonts w:ascii="Arial" w:cs="Arial" w:eastAsia="Arial" w:hAnsi="Arial"/>
          <w:sz w:val="17"/>
          <w:szCs w:val="17"/>
          <w:b w:val="1"/>
          <w:bCs w:val="1"/>
          <w:color w:val="auto"/>
        </w:rPr>
        <w:t>Dealer</w:t>
      </w:r>
      <w:r>
        <w:rPr>
          <w:rFonts w:ascii="Arial" w:cs="Arial" w:eastAsia="Arial" w:hAnsi="Arial"/>
          <w:sz w:val="17"/>
          <w:szCs w:val="17"/>
          <w:color w:val="auto"/>
        </w:rPr>
        <w:t>”) and Cracker Barrel Old Country Store, Inc. (“</w:t>
      </w:r>
      <w:r>
        <w:rPr>
          <w:rFonts w:ascii="Arial" w:cs="Arial" w:eastAsia="Arial" w:hAnsi="Arial"/>
          <w:sz w:val="17"/>
          <w:szCs w:val="17"/>
          <w:b w:val="1"/>
          <w:bCs w:val="1"/>
          <w:color w:val="auto"/>
        </w:rPr>
        <w:t>Counterparty</w:t>
      </w:r>
      <w:r>
        <w:rPr>
          <w:rFonts w:ascii="Arial" w:cs="Arial" w:eastAsia="Arial" w:hAnsi="Arial"/>
          <w:sz w:val="17"/>
          <w:szCs w:val="17"/>
          <w:color w:val="auto"/>
        </w:rPr>
        <w:t>”) as of the Trade Date specified below (the “</w:t>
      </w:r>
      <w:r>
        <w:rPr>
          <w:rFonts w:ascii="Arial" w:cs="Arial" w:eastAsia="Arial" w:hAnsi="Arial"/>
          <w:sz w:val="17"/>
          <w:szCs w:val="17"/>
          <w:b w:val="1"/>
          <w:bCs w:val="1"/>
          <w:color w:val="auto"/>
        </w:rPr>
        <w:t>Transaction</w:t>
      </w:r>
      <w:r>
        <w:rPr>
          <w:rFonts w:ascii="Arial" w:cs="Arial" w:eastAsia="Arial" w:hAnsi="Arial"/>
          <w:sz w:val="17"/>
          <w:szCs w:val="17"/>
          <w:color w:val="auto"/>
        </w:rPr>
        <w:t>”).</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definitions and provisions contained in the 2002 ISDA Equity Derivatives Definitions (the “</w:t>
      </w:r>
      <w:r>
        <w:rPr>
          <w:rFonts w:ascii="Arial" w:cs="Arial" w:eastAsia="Arial" w:hAnsi="Arial"/>
          <w:sz w:val="16"/>
          <w:szCs w:val="16"/>
          <w:b w:val="1"/>
          <w:bCs w:val="1"/>
          <w:color w:val="auto"/>
        </w:rPr>
        <w:t>Equity Definitions</w:t>
      </w:r>
      <w:r>
        <w:rPr>
          <w:rFonts w:ascii="Arial" w:cs="Arial" w:eastAsia="Arial" w:hAnsi="Arial"/>
          <w:sz w:val="16"/>
          <w:szCs w:val="16"/>
          <w:color w:val="auto"/>
        </w:rPr>
        <w:t>”), as published by the International Swaps and Derivatives Association, Inc. (“</w:t>
      </w:r>
      <w:r>
        <w:rPr>
          <w:rFonts w:ascii="Arial" w:cs="Arial" w:eastAsia="Arial" w:hAnsi="Arial"/>
          <w:sz w:val="16"/>
          <w:szCs w:val="16"/>
          <w:b w:val="1"/>
          <w:bCs w:val="1"/>
          <w:color w:val="auto"/>
        </w:rPr>
        <w:t>ISDA</w:t>
      </w:r>
      <w:r>
        <w:rPr>
          <w:rFonts w:ascii="Arial" w:cs="Arial" w:eastAsia="Arial" w:hAnsi="Arial"/>
          <w:sz w:val="16"/>
          <w:szCs w:val="16"/>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15, 2021 (the “</w:t>
      </w:r>
      <w:r>
        <w:rPr>
          <w:rFonts w:ascii="Arial" w:cs="Arial" w:eastAsia="Arial" w:hAnsi="Arial"/>
          <w:sz w:val="16"/>
          <w:szCs w:val="16"/>
          <w:b w:val="1"/>
          <w:bCs w:val="1"/>
          <w:color w:val="auto"/>
        </w:rPr>
        <w:t>Offering Memorandum</w:t>
      </w:r>
      <w:r>
        <w:rPr>
          <w:rFonts w:ascii="Arial" w:cs="Arial" w:eastAsia="Arial" w:hAnsi="Arial"/>
          <w:sz w:val="16"/>
          <w:szCs w:val="16"/>
          <w:color w:val="auto"/>
        </w:rPr>
        <w:t>”) relating to the 0.625% Convertible Senior Notes due 2026 (as originally issued by Counterparty, the “</w:t>
      </w:r>
      <w:r>
        <w:rPr>
          <w:rFonts w:ascii="Arial" w:cs="Arial" w:eastAsia="Arial" w:hAnsi="Arial"/>
          <w:sz w:val="16"/>
          <w:szCs w:val="16"/>
          <w:b w:val="1"/>
          <w:bCs w:val="1"/>
          <w:color w:val="auto"/>
        </w:rPr>
        <w:t>Convertible Notes</w:t>
      </w:r>
      <w:r>
        <w:rPr>
          <w:rFonts w:ascii="Arial" w:cs="Arial" w:eastAsia="Arial" w:hAnsi="Arial"/>
          <w:sz w:val="16"/>
          <w:szCs w:val="16"/>
          <w:color w:val="auto"/>
        </w:rPr>
        <w:t>” and each USD 1,000 principal amount of Convertible Notes, a “</w:t>
      </w:r>
      <w:r>
        <w:rPr>
          <w:rFonts w:ascii="Arial" w:cs="Arial" w:eastAsia="Arial" w:hAnsi="Arial"/>
          <w:sz w:val="16"/>
          <w:szCs w:val="16"/>
          <w:b w:val="1"/>
          <w:bCs w:val="1"/>
          <w:color w:val="auto"/>
        </w:rPr>
        <w:t>Convertible Note</w:t>
      </w:r>
      <w:r>
        <w:rPr>
          <w:rFonts w:ascii="Arial" w:cs="Arial" w:eastAsia="Arial" w:hAnsi="Arial"/>
          <w:sz w:val="16"/>
          <w:szCs w:val="16"/>
          <w:color w:val="auto"/>
        </w:rPr>
        <w:t>”) issued by Counterparty in an aggregate initial principal amount of USD 275,000,000 (as increased by [up to] an aggregate principal amount of USD 25,000,000 [if and to the extent that] [pursuant to the exercise by] the Initial Purchasers (as defined herein) [exercise] [of] their option to purchase additional Convertible Notes pursuant to the Purchase Agreement (as defined herein)) pursuant to an Indenture to be dated June 18, 2021 between Counterparty and U.S. Bank National Association, as trustee (the “</w:t>
      </w:r>
      <w:r>
        <w:rPr>
          <w:rFonts w:ascii="Arial" w:cs="Arial" w:eastAsia="Arial" w:hAnsi="Arial"/>
          <w:sz w:val="16"/>
          <w:szCs w:val="16"/>
          <w:b w:val="1"/>
          <w:bCs w:val="1"/>
          <w:color w:val="auto"/>
        </w:rPr>
        <w:t>Indenture</w:t>
      </w:r>
      <w:r>
        <w:rPr>
          <w:rFonts w:ascii="Arial" w:cs="Arial" w:eastAsia="Arial" w:hAnsi="Arial"/>
          <w:sz w:val="16"/>
          <w:szCs w:val="16"/>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in all material respects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and in a commercially reasonable manner to preserve the intent of the parties. Subject to the foregoing, references to the Indenture herein are references to the Indenture as in effect on the date of its execution, and if the Indenture is amended or supplemented following such date (other than any amendment or supplement (x) pursuant to Section 8.01(I) of the Indenture that, as determined by the Calculation Agent, conforms the Indenture to the description of Convertible Notes in the Offering Memorandum or (y) pursuant to Section 5.09 of the Indenture, subject, in the case of this clause (y), to the second paragraph under “Method of Adjustment” in Section 3), any such amendment or supplement will be disregarded for purposes of this Confirmation (other than as provided in Section 9(g)(iii) below) unless the parties agree otherwise in writing.</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7" w:name="page108"/>
    <w:bookmarkEnd w:id="107"/>
    <w:p>
      <w:pPr>
        <w:jc w:val="both"/>
        <w:ind w:firstLine="8"/>
        <w:spacing w:after="0" w:line="284" w:lineRule="auto"/>
        <w:tabs>
          <w:tab w:leader="none" w:pos="10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ISDA 2002 Master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as if Dealer and Counterparty had executed an agreement in such form (but without any Schedule except for (i) the election of the laws of the State of New York as the governing law (without reference to choice of law doctrine) on the Trade Date, (ii) in respect of Section 5(a)(vi) of the Agreement, (a) the “Cross Default” provisions shall apply to Dealer with a “Threshold Amount” of three percent of the shareholders’ equity of [Dealer’s ultimate parent][Dealer’s] as of the Trade Date, (b) the phrase “or becoming capable at such time of being declared” shall be deleted from clause</w:t>
      </w:r>
    </w:p>
    <w:p>
      <w:pPr>
        <w:spacing w:after="0" w:line="4" w:lineRule="exact"/>
        <w:rPr>
          <w:rFonts w:ascii="Arial" w:cs="Arial" w:eastAsia="Arial" w:hAnsi="Arial"/>
          <w:sz w:val="16"/>
          <w:szCs w:val="16"/>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(1) and (c) the following language shall be added to the end of such Section: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(iii) the term “Specified Indebtedness” shall have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68" w:lineRule="exact"/>
        <w:rPr>
          <w:rFonts w:ascii="Arial" w:cs="Arial" w:eastAsia="Arial" w:hAnsi="Arial"/>
          <w:sz w:val="16"/>
          <w:szCs w:val="16"/>
          <w:color w:val="auto"/>
        </w:rPr>
      </w:pPr>
    </w:p>
    <w:p>
      <w:pPr>
        <w:ind w:left="1000" w:hanging="992"/>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terms of the particular Transaction to which this Confirmation relates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w:t>
            </w:r>
          </w:p>
        </w:tc>
        <w:tc>
          <w:tcPr>
            <w:tcW w:w="73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Trade Date:</w:t>
            </w:r>
          </w:p>
        </w:tc>
        <w:tc>
          <w:tcPr>
            <w:tcW w:w="7360" w:type="dxa"/>
            <w:vAlign w:val="bottom"/>
          </w:tcPr>
          <w:p>
            <w:pPr>
              <w:ind w:left="1080"/>
              <w:spacing w:after="0"/>
              <w:rPr>
                <w:sz w:val="20"/>
                <w:szCs w:val="20"/>
                <w:color w:val="auto"/>
              </w:rPr>
            </w:pPr>
            <w:r>
              <w:rPr>
                <w:rFonts w:ascii="Arial" w:cs="Arial" w:eastAsia="Arial" w:hAnsi="Arial"/>
                <w:sz w:val="18"/>
                <w:szCs w:val="18"/>
                <w:color w:val="auto"/>
              </w:rPr>
              <w:t>[June 15][June 16], 2021</w:t>
            </w:r>
          </w:p>
        </w:tc>
      </w:tr>
      <w:tr>
        <w:trPr>
          <w:trHeight w:val="418"/>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Effective Date:</w:t>
            </w:r>
          </w:p>
        </w:tc>
        <w:tc>
          <w:tcPr>
            <w:tcW w:w="7360" w:type="dxa"/>
            <w:vAlign w:val="bottom"/>
          </w:tcPr>
          <w:p>
            <w:pPr>
              <w:ind w:left="1080"/>
              <w:spacing w:after="0"/>
              <w:rPr>
                <w:sz w:val="20"/>
                <w:szCs w:val="20"/>
                <w:color w:val="auto"/>
              </w:rPr>
            </w:pPr>
            <w:r>
              <w:rPr>
                <w:rFonts w:ascii="Arial" w:cs="Arial" w:eastAsia="Arial" w:hAnsi="Arial"/>
                <w:sz w:val="18"/>
                <w:szCs w:val="18"/>
                <w:color w:val="auto"/>
                <w:w w:val="91"/>
              </w:rPr>
              <w:t>The second Exchange Business Day immediately prior to the Premium Payment Date,</w:t>
            </w:r>
          </w:p>
        </w:tc>
      </w:tr>
      <w:tr>
        <w:trPr>
          <w:trHeight w:val="230"/>
        </w:trPr>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360" w:type="dxa"/>
            <w:vAlign w:val="bottom"/>
          </w:tcPr>
          <w:p>
            <w:pPr>
              <w:ind w:left="1080"/>
              <w:spacing w:after="0"/>
              <w:rPr>
                <w:sz w:val="20"/>
                <w:szCs w:val="20"/>
                <w:color w:val="auto"/>
              </w:rPr>
            </w:pPr>
            <w:r>
              <w:rPr>
                <w:rFonts w:ascii="Arial" w:cs="Arial" w:eastAsia="Arial" w:hAnsi="Arial"/>
                <w:sz w:val="18"/>
                <w:szCs w:val="18"/>
                <w:color w:val="auto"/>
              </w:rPr>
              <w:t>subject to Section 9(s).</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Option Style:</w:t>
            </w:r>
          </w:p>
        </w:tc>
        <w:tc>
          <w:tcPr>
            <w:tcW w:w="7360" w:type="dxa"/>
            <w:vAlign w:val="bottom"/>
          </w:tcPr>
          <w:p>
            <w:pPr>
              <w:ind w:left="1080"/>
              <w:spacing w:after="0"/>
              <w:rPr>
                <w:sz w:val="20"/>
                <w:szCs w:val="20"/>
                <w:color w:val="auto"/>
              </w:rPr>
            </w:pPr>
            <w:r>
              <w:rPr>
                <w:rFonts w:ascii="Arial" w:cs="Arial" w:eastAsia="Arial" w:hAnsi="Arial"/>
                <w:sz w:val="18"/>
                <w:szCs w:val="18"/>
                <w:color w:val="auto"/>
              </w:rPr>
              <w:t>“Modified American”, as described under “Procedures for Exercise” below</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Option Type:</w:t>
            </w:r>
          </w:p>
        </w:tc>
        <w:tc>
          <w:tcPr>
            <w:tcW w:w="7360" w:type="dxa"/>
            <w:vAlign w:val="bottom"/>
          </w:tcPr>
          <w:p>
            <w:pPr>
              <w:ind w:left="1080"/>
              <w:spacing w:after="0"/>
              <w:rPr>
                <w:sz w:val="20"/>
                <w:szCs w:val="20"/>
                <w:color w:val="auto"/>
              </w:rPr>
            </w:pPr>
            <w:r>
              <w:rPr>
                <w:rFonts w:ascii="Arial" w:cs="Arial" w:eastAsia="Arial" w:hAnsi="Arial"/>
                <w:sz w:val="18"/>
                <w:szCs w:val="18"/>
                <w:color w:val="auto"/>
              </w:rPr>
              <w:t>Call</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Buyer:</w:t>
            </w:r>
          </w:p>
        </w:tc>
        <w:tc>
          <w:tcPr>
            <w:tcW w:w="7360" w:type="dxa"/>
            <w:vAlign w:val="bottom"/>
          </w:tcPr>
          <w:p>
            <w:pPr>
              <w:ind w:left="1080"/>
              <w:spacing w:after="0"/>
              <w:rPr>
                <w:sz w:val="20"/>
                <w:szCs w:val="20"/>
                <w:color w:val="auto"/>
              </w:rPr>
            </w:pPr>
            <w:r>
              <w:rPr>
                <w:rFonts w:ascii="Arial" w:cs="Arial" w:eastAsia="Arial" w:hAnsi="Arial"/>
                <w:sz w:val="18"/>
                <w:szCs w:val="18"/>
                <w:color w:val="auto"/>
              </w:rPr>
              <w:t>Counterparty</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Seller:</w:t>
            </w:r>
          </w:p>
        </w:tc>
        <w:tc>
          <w:tcPr>
            <w:tcW w:w="7360" w:type="dxa"/>
            <w:vAlign w:val="bottom"/>
          </w:tcPr>
          <w:p>
            <w:pPr>
              <w:ind w:left="1080"/>
              <w:spacing w:after="0"/>
              <w:rPr>
                <w:sz w:val="20"/>
                <w:szCs w:val="20"/>
                <w:color w:val="auto"/>
              </w:rPr>
            </w:pPr>
            <w:r>
              <w:rPr>
                <w:rFonts w:ascii="Arial" w:cs="Arial" w:eastAsia="Arial" w:hAnsi="Arial"/>
                <w:sz w:val="18"/>
                <w:szCs w:val="18"/>
                <w:color w:val="auto"/>
              </w:rPr>
              <w:t>Dealer</w:t>
            </w:r>
          </w:p>
        </w:tc>
      </w:tr>
      <w:tr>
        <w:trPr>
          <w:trHeight w:val="418"/>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Shares:</w:t>
            </w:r>
          </w:p>
        </w:tc>
        <w:tc>
          <w:tcPr>
            <w:tcW w:w="7360" w:type="dxa"/>
            <w:vAlign w:val="bottom"/>
          </w:tcPr>
          <w:p>
            <w:pPr>
              <w:ind w:left="1080"/>
              <w:spacing w:after="0"/>
              <w:rPr>
                <w:sz w:val="20"/>
                <w:szCs w:val="20"/>
                <w:color w:val="auto"/>
              </w:rPr>
            </w:pPr>
            <w:r>
              <w:rPr>
                <w:rFonts w:ascii="Arial" w:cs="Arial" w:eastAsia="Arial" w:hAnsi="Arial"/>
                <w:sz w:val="18"/>
                <w:szCs w:val="18"/>
                <w:color w:val="auto"/>
                <w:w w:val="91"/>
              </w:rPr>
              <w:t>The common stock of Counterparty, par value USD 0.01 per share (Exchange symbol</w:t>
            </w:r>
          </w:p>
        </w:tc>
      </w:tr>
      <w:tr>
        <w:trPr>
          <w:trHeight w:val="230"/>
        </w:trPr>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360" w:type="dxa"/>
            <w:vAlign w:val="bottom"/>
          </w:tcPr>
          <w:p>
            <w:pPr>
              <w:ind w:left="1080"/>
              <w:spacing w:after="0"/>
              <w:rPr>
                <w:sz w:val="20"/>
                <w:szCs w:val="20"/>
                <w:color w:val="auto"/>
              </w:rPr>
            </w:pPr>
            <w:r>
              <w:rPr>
                <w:rFonts w:ascii="Arial" w:cs="Arial" w:eastAsia="Arial" w:hAnsi="Arial"/>
                <w:sz w:val="18"/>
                <w:szCs w:val="18"/>
                <w:color w:val="auto"/>
              </w:rPr>
              <w:t>“CBRL”).</w:t>
            </w:r>
          </w:p>
        </w:tc>
      </w:tr>
      <w:tr>
        <w:trPr>
          <w:trHeight w:val="418"/>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Number of Options:</w:t>
            </w:r>
          </w:p>
        </w:tc>
        <w:tc>
          <w:tcPr>
            <w:tcW w:w="7360" w:type="dxa"/>
            <w:vAlign w:val="bottom"/>
          </w:tcPr>
          <w:p>
            <w:pPr>
              <w:ind w:left="1080"/>
              <w:spacing w:after="0"/>
              <w:rPr>
                <w:sz w:val="20"/>
                <w:szCs w:val="20"/>
                <w:color w:val="auto"/>
              </w:rPr>
            </w:pPr>
            <w:r>
              <w:rPr>
                <w:rFonts w:ascii="Arial" w:cs="Arial" w:eastAsia="Arial" w:hAnsi="Arial"/>
                <w:sz w:val="18"/>
                <w:szCs w:val="18"/>
                <w:color w:val="auto"/>
                <w:w w:val="94"/>
              </w:rPr>
              <w:t>[_______].  For the avoidance of doubt, the Number of Options shall be reduced by</w:t>
            </w:r>
          </w:p>
        </w:tc>
      </w:tr>
      <w:tr>
        <w:trPr>
          <w:trHeight w:val="216"/>
        </w:trPr>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360" w:type="dxa"/>
            <w:vAlign w:val="bottom"/>
          </w:tcPr>
          <w:p>
            <w:pPr>
              <w:ind w:left="1080"/>
              <w:spacing w:after="0"/>
              <w:rPr>
                <w:sz w:val="20"/>
                <w:szCs w:val="20"/>
                <w:color w:val="auto"/>
              </w:rPr>
            </w:pPr>
            <w:r>
              <w:rPr>
                <w:rFonts w:ascii="Arial" w:cs="Arial" w:eastAsia="Arial" w:hAnsi="Arial"/>
                <w:sz w:val="18"/>
                <w:szCs w:val="18"/>
                <w:color w:val="auto"/>
                <w:w w:val="95"/>
              </w:rPr>
              <w:t>any Options exercised by Counterparty.  In no event will the Number of Options be</w:t>
            </w:r>
          </w:p>
        </w:tc>
      </w:tr>
      <w:tr>
        <w:trPr>
          <w:trHeight w:val="230"/>
        </w:trPr>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360" w:type="dxa"/>
            <w:vAlign w:val="bottom"/>
          </w:tcPr>
          <w:p>
            <w:pPr>
              <w:ind w:left="1080"/>
              <w:spacing w:after="0"/>
              <w:rPr>
                <w:sz w:val="20"/>
                <w:szCs w:val="20"/>
                <w:color w:val="auto"/>
              </w:rPr>
            </w:pPr>
            <w:r>
              <w:rPr>
                <w:rFonts w:ascii="Arial" w:cs="Arial" w:eastAsia="Arial" w:hAnsi="Arial"/>
                <w:sz w:val="18"/>
                <w:szCs w:val="18"/>
                <w:color w:val="auto"/>
              </w:rPr>
              <w:t>less than zero.</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Applicable Percentage:</w:t>
            </w:r>
          </w:p>
        </w:tc>
        <w:tc>
          <w:tcPr>
            <w:tcW w:w="7360" w:type="dxa"/>
            <w:vAlign w:val="bottom"/>
          </w:tcPr>
          <w:p>
            <w:pPr>
              <w:ind w:left="1080"/>
              <w:spacing w:after="0"/>
              <w:rPr>
                <w:sz w:val="20"/>
                <w:szCs w:val="20"/>
                <w:color w:val="auto"/>
              </w:rPr>
            </w:pPr>
            <w:r>
              <w:rPr>
                <w:rFonts w:ascii="Arial" w:cs="Arial" w:eastAsia="Arial" w:hAnsi="Arial"/>
                <w:sz w:val="18"/>
                <w:szCs w:val="18"/>
                <w:color w:val="auto"/>
              </w:rPr>
              <w:t>[_]%</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Option Entitlement:</w:t>
            </w:r>
          </w:p>
        </w:tc>
        <w:tc>
          <w:tcPr>
            <w:tcW w:w="7360" w:type="dxa"/>
            <w:vAlign w:val="bottom"/>
          </w:tcPr>
          <w:p>
            <w:pPr>
              <w:ind w:left="1080"/>
              <w:spacing w:after="0"/>
              <w:rPr>
                <w:sz w:val="20"/>
                <w:szCs w:val="20"/>
                <w:color w:val="auto"/>
              </w:rPr>
            </w:pPr>
            <w:r>
              <w:rPr>
                <w:rFonts w:ascii="Arial" w:cs="Arial" w:eastAsia="Arial" w:hAnsi="Arial"/>
                <w:sz w:val="18"/>
                <w:szCs w:val="18"/>
                <w:color w:val="auto"/>
              </w:rPr>
              <w:t>A number equal to the product of the Applicable Percentage and 5.3153.</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Strike Price:</w:t>
            </w:r>
          </w:p>
        </w:tc>
        <w:tc>
          <w:tcPr>
            <w:tcW w:w="7360" w:type="dxa"/>
            <w:vAlign w:val="bottom"/>
          </w:tcPr>
          <w:p>
            <w:pPr>
              <w:ind w:left="1080"/>
              <w:spacing w:after="0"/>
              <w:rPr>
                <w:sz w:val="20"/>
                <w:szCs w:val="20"/>
                <w:color w:val="auto"/>
              </w:rPr>
            </w:pPr>
            <w:r>
              <w:rPr>
                <w:rFonts w:ascii="Arial" w:cs="Arial" w:eastAsia="Arial" w:hAnsi="Arial"/>
                <w:sz w:val="18"/>
                <w:szCs w:val="18"/>
                <w:color w:val="auto"/>
              </w:rPr>
              <w:t>USD 188.1361</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Premium:</w:t>
            </w:r>
          </w:p>
        </w:tc>
        <w:tc>
          <w:tcPr>
            <w:tcW w:w="7360" w:type="dxa"/>
            <w:vAlign w:val="bottom"/>
          </w:tcPr>
          <w:p>
            <w:pPr>
              <w:ind w:left="1080"/>
              <w:spacing w:after="0"/>
              <w:rPr>
                <w:sz w:val="20"/>
                <w:szCs w:val="20"/>
                <w:color w:val="auto"/>
              </w:rPr>
            </w:pPr>
            <w:r>
              <w:rPr>
                <w:rFonts w:ascii="Arial" w:cs="Arial" w:eastAsia="Arial" w:hAnsi="Arial"/>
                <w:sz w:val="18"/>
                <w:szCs w:val="18"/>
                <w:color w:val="auto"/>
              </w:rPr>
              <w:t>USD [______]</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Premium Payment Date:</w:t>
            </w:r>
          </w:p>
        </w:tc>
        <w:tc>
          <w:tcPr>
            <w:tcW w:w="7360" w:type="dxa"/>
            <w:vAlign w:val="bottom"/>
          </w:tcPr>
          <w:p>
            <w:pPr>
              <w:ind w:left="1080"/>
              <w:spacing w:after="0"/>
              <w:rPr>
                <w:sz w:val="20"/>
                <w:szCs w:val="20"/>
                <w:color w:val="auto"/>
              </w:rPr>
            </w:pPr>
            <w:r>
              <w:rPr>
                <w:rFonts w:ascii="Arial" w:cs="Arial" w:eastAsia="Arial" w:hAnsi="Arial"/>
                <w:sz w:val="18"/>
                <w:szCs w:val="18"/>
                <w:color w:val="auto"/>
              </w:rPr>
              <w:t>June 18, 2021</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Exchange:</w:t>
            </w:r>
          </w:p>
        </w:tc>
        <w:tc>
          <w:tcPr>
            <w:tcW w:w="7360" w:type="dxa"/>
            <w:vAlign w:val="bottom"/>
          </w:tcPr>
          <w:p>
            <w:pPr>
              <w:ind w:left="1080"/>
              <w:spacing w:after="0"/>
              <w:rPr>
                <w:sz w:val="20"/>
                <w:szCs w:val="20"/>
                <w:color w:val="auto"/>
              </w:rPr>
            </w:pPr>
            <w:r>
              <w:rPr>
                <w:rFonts w:ascii="Arial" w:cs="Arial" w:eastAsia="Arial" w:hAnsi="Arial"/>
                <w:sz w:val="18"/>
                <w:szCs w:val="18"/>
                <w:color w:val="auto"/>
              </w:rPr>
              <w:t>The Nasdaq Global Select Market</w:t>
            </w:r>
          </w:p>
        </w:tc>
      </w:tr>
      <w:tr>
        <w:trPr>
          <w:trHeight w:val="432"/>
        </w:trPr>
        <w:tc>
          <w:tcPr>
            <w:tcW w:w="660" w:type="dxa"/>
            <w:vAlign w:val="bottom"/>
          </w:tcPr>
          <w:p>
            <w:pPr>
              <w:spacing w:after="0"/>
              <w:rPr>
                <w:sz w:val="24"/>
                <w:szCs w:val="24"/>
                <w:color w:val="auto"/>
              </w:rPr>
            </w:pP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rPr>
              <w:t>Related Exchange(s):</w:t>
            </w:r>
          </w:p>
        </w:tc>
        <w:tc>
          <w:tcPr>
            <w:tcW w:w="7360" w:type="dxa"/>
            <w:vAlign w:val="bottom"/>
          </w:tcPr>
          <w:p>
            <w:pPr>
              <w:ind w:left="1080"/>
              <w:spacing w:after="0"/>
              <w:rPr>
                <w:sz w:val="20"/>
                <w:szCs w:val="20"/>
                <w:color w:val="auto"/>
              </w:rPr>
            </w:pPr>
            <w:r>
              <w:rPr>
                <w:rFonts w:ascii="Arial" w:cs="Arial" w:eastAsia="Arial" w:hAnsi="Arial"/>
                <w:sz w:val="18"/>
                <w:szCs w:val="18"/>
                <w:color w:val="auto"/>
              </w:rPr>
              <w:t>All Exchanges</w:t>
            </w:r>
          </w:p>
        </w:tc>
      </w:tr>
      <w:tr>
        <w:trPr>
          <w:trHeight w:val="675"/>
        </w:trPr>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8"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420" w:type="dxa"/>
            <w:vAlign w:val="bottom"/>
            <w:gridSpan w:val="2"/>
          </w:tcPr>
          <w:p>
            <w:pPr>
              <w:ind w:left="700"/>
              <w:spacing w:after="0"/>
              <w:rPr>
                <w:sz w:val="20"/>
                <w:szCs w:val="20"/>
                <w:color w:val="auto"/>
              </w:rPr>
            </w:pPr>
            <w:r>
              <w:rPr>
                <w:rFonts w:ascii="Arial" w:cs="Arial" w:eastAsia="Arial" w:hAnsi="Arial"/>
                <w:sz w:val="18"/>
                <w:szCs w:val="18"/>
                <w:color w:val="auto"/>
              </w:rPr>
              <w:t>Excluded Provisions:</w:t>
            </w:r>
          </w:p>
        </w:tc>
        <w:tc>
          <w:tcPr>
            <w:tcW w:w="7480" w:type="dxa"/>
            <w:vAlign w:val="bottom"/>
          </w:tcPr>
          <w:p>
            <w:pPr>
              <w:ind w:left="1200"/>
              <w:spacing w:after="0"/>
              <w:rPr>
                <w:sz w:val="20"/>
                <w:szCs w:val="20"/>
                <w:color w:val="auto"/>
              </w:rPr>
            </w:pPr>
            <w:r>
              <w:rPr>
                <w:rFonts w:ascii="Arial" w:cs="Arial" w:eastAsia="Arial" w:hAnsi="Arial"/>
                <w:sz w:val="18"/>
                <w:szCs w:val="18"/>
                <w:color w:val="auto"/>
              </w:rPr>
              <w:t>Section 5.06 and Section 5.07 of the Indenture.</w:t>
            </w:r>
          </w:p>
        </w:tc>
      </w:tr>
      <w:tr>
        <w:trPr>
          <w:trHeight w:val="391"/>
        </w:trPr>
        <w:tc>
          <w:tcPr>
            <w:tcW w:w="34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i w:val="1"/>
                <w:iCs w:val="1"/>
                <w:color w:val="auto"/>
              </w:rPr>
              <w:t>Procedures for Exercise</w:t>
            </w:r>
            <w:r>
              <w:rPr>
                <w:rFonts w:ascii="Arial" w:cs="Arial" w:eastAsia="Arial" w:hAnsi="Arial"/>
                <w:sz w:val="18"/>
                <w:szCs w:val="18"/>
                <w:color w:val="auto"/>
              </w:rPr>
              <w:t>.</w:t>
            </w:r>
          </w:p>
        </w:tc>
        <w:tc>
          <w:tcPr>
            <w:tcW w:w="74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38"/>
        </w:trPr>
        <w:tc>
          <w:tcPr>
            <w:tcW w:w="340" w:type="dxa"/>
            <w:vAlign w:val="bottom"/>
          </w:tcPr>
          <w:p>
            <w:pPr>
              <w:spacing w:after="0"/>
              <w:rPr>
                <w:sz w:val="24"/>
                <w:szCs w:val="24"/>
                <w:color w:val="auto"/>
              </w:rPr>
            </w:pPr>
          </w:p>
        </w:tc>
        <w:tc>
          <w:tcPr>
            <w:tcW w:w="3420" w:type="dxa"/>
            <w:vAlign w:val="bottom"/>
            <w:gridSpan w:val="2"/>
          </w:tcPr>
          <w:p>
            <w:pPr>
              <w:ind w:left="700"/>
              <w:spacing w:after="0"/>
              <w:rPr>
                <w:sz w:val="20"/>
                <w:szCs w:val="20"/>
                <w:color w:val="auto"/>
              </w:rPr>
            </w:pPr>
            <w:r>
              <w:rPr>
                <w:rFonts w:ascii="Arial" w:cs="Arial" w:eastAsia="Arial" w:hAnsi="Arial"/>
                <w:sz w:val="18"/>
                <w:szCs w:val="18"/>
                <w:color w:val="auto"/>
              </w:rPr>
              <w:t>Conversion Date:</w:t>
            </w:r>
          </w:p>
        </w:tc>
        <w:tc>
          <w:tcPr>
            <w:tcW w:w="7480" w:type="dxa"/>
            <w:vAlign w:val="bottom"/>
          </w:tcPr>
          <w:p>
            <w:pPr>
              <w:ind w:left="1200"/>
              <w:spacing w:after="0"/>
              <w:rPr>
                <w:sz w:val="20"/>
                <w:szCs w:val="20"/>
                <w:color w:val="auto"/>
              </w:rPr>
            </w:pPr>
            <w:r>
              <w:rPr>
                <w:rFonts w:ascii="Arial" w:cs="Arial" w:eastAsia="Arial" w:hAnsi="Arial"/>
                <w:sz w:val="18"/>
                <w:szCs w:val="18"/>
                <w:color w:val="auto"/>
                <w:w w:val="91"/>
              </w:rPr>
              <w:t>With respect to any conversion of a Convertible Note (other than (x) any conversion of</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4"/>
              </w:rPr>
              <w:t>a Convertible Note with a “Conversion Date” (as defined in the Indenture) occurring</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rPr>
              <w:t>prior to the 55th Scheduled Valid Day preceding the Expiration Date or (y) any</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3"/>
              </w:rPr>
              <w:t>conversion of a Convertible Note in respect of which holder of such Convertible Note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5"/>
              </w:rPr>
              <w:t>would be entitled to an increase in the Conversion Rate pursuant to a Make-Whole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5"/>
              </w:rPr>
              <w:t>Adjustment (including, for the avoidance of doubt, if such Make-Whole Adjustment</w:t>
            </w:r>
          </w:p>
        </w:tc>
      </w:tr>
      <w:tr>
        <w:trPr>
          <w:trHeight w:val="212"/>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0"/>
              </w:rPr>
              <w:t>does not result in an increase to the Conversion Rate) (any such conversion described</w:t>
            </w:r>
          </w:p>
        </w:tc>
      </w:tr>
      <w:tr>
        <w:trPr>
          <w:trHeight w:val="220"/>
        </w:trPr>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2"/>
              </w:rPr>
              <w:t>in clause (x) or clause (y), an “</w:t>
            </w:r>
            <w:r>
              <w:rPr>
                <w:rFonts w:ascii="Arial" w:cs="Arial" w:eastAsia="Arial" w:hAnsi="Arial"/>
                <w:sz w:val="18"/>
                <w:szCs w:val="18"/>
                <w:b w:val="1"/>
                <w:bCs w:val="1"/>
                <w:color w:val="auto"/>
                <w:w w:val="92"/>
              </w:rPr>
              <w:t>Early Conversion</w:t>
            </w:r>
            <w:r>
              <w:rPr>
                <w:rFonts w:ascii="Arial" w:cs="Arial" w:eastAsia="Arial" w:hAnsi="Arial"/>
                <w:sz w:val="18"/>
                <w:szCs w:val="18"/>
                <w:color w:val="auto"/>
                <w:w w:val="92"/>
              </w:rPr>
              <w:t>”), to which the provisions of Section</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2"/>
              </w:rPr>
              <w:t>9(g)(i) of this Confirmation shall apply), the date on which the Holder (as such term is</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2"/>
              </w:rPr>
              <w:t>defined in the Indenture) of such Convertible Note satisfies all of the requirements for</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rPr>
              <w:t xml:space="preserve">conversion thereof as set forth in Section 5.01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1"/>
              </w:rPr>
              <w:t>Counterparty has not delivered to Dealer a related Notice of Exercise, then in no event</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8"/>
              </w:rPr>
              <w:t>shall a Conversion Date be deemed to occur hereunder (and no Option shall be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4"/>
              </w:rPr>
              <w:t>exercised or deemed to be exercised hereunder) with respect to any surrender of a</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9"/>
              </w:rPr>
              <w:t>Convertible Note for conversion in respect of which Counterparty has elected to</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2"/>
              </w:rPr>
              <w:t>designate a financial institution for exchange in lieu of conversion of such Convertible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rPr>
              <w:t>Note pursuant to Section 5.08 of the Indenture.</w:t>
            </w:r>
          </w:p>
        </w:tc>
      </w:tr>
      <w:tr>
        <w:trPr>
          <w:trHeight w:val="432"/>
        </w:trPr>
        <w:tc>
          <w:tcPr>
            <w:tcW w:w="340" w:type="dxa"/>
            <w:vAlign w:val="bottom"/>
          </w:tcPr>
          <w:p>
            <w:pPr>
              <w:spacing w:after="0"/>
              <w:rPr>
                <w:sz w:val="24"/>
                <w:szCs w:val="24"/>
                <w:color w:val="auto"/>
              </w:rPr>
            </w:pPr>
          </w:p>
        </w:tc>
        <w:tc>
          <w:tcPr>
            <w:tcW w:w="3420" w:type="dxa"/>
            <w:vAlign w:val="bottom"/>
            <w:gridSpan w:val="2"/>
          </w:tcPr>
          <w:p>
            <w:pPr>
              <w:ind w:left="700"/>
              <w:spacing w:after="0"/>
              <w:rPr>
                <w:sz w:val="20"/>
                <w:szCs w:val="20"/>
                <w:color w:val="auto"/>
              </w:rPr>
            </w:pPr>
            <w:r>
              <w:rPr>
                <w:rFonts w:ascii="Arial" w:cs="Arial" w:eastAsia="Arial" w:hAnsi="Arial"/>
                <w:sz w:val="18"/>
                <w:szCs w:val="18"/>
                <w:color w:val="auto"/>
              </w:rPr>
              <w:t>Expiration Time:</w:t>
            </w:r>
          </w:p>
        </w:tc>
        <w:tc>
          <w:tcPr>
            <w:tcW w:w="7480" w:type="dxa"/>
            <w:vAlign w:val="bottom"/>
          </w:tcPr>
          <w:p>
            <w:pPr>
              <w:ind w:left="1200"/>
              <w:spacing w:after="0"/>
              <w:rPr>
                <w:sz w:val="20"/>
                <w:szCs w:val="20"/>
                <w:color w:val="auto"/>
              </w:rPr>
            </w:pPr>
            <w:r>
              <w:rPr>
                <w:rFonts w:ascii="Arial" w:cs="Arial" w:eastAsia="Arial" w:hAnsi="Arial"/>
                <w:sz w:val="18"/>
                <w:szCs w:val="18"/>
                <w:color w:val="auto"/>
              </w:rPr>
              <w:t>The Valuation Time</w:t>
            </w:r>
          </w:p>
        </w:tc>
      </w:tr>
      <w:tr>
        <w:trPr>
          <w:trHeight w:val="432"/>
        </w:trPr>
        <w:tc>
          <w:tcPr>
            <w:tcW w:w="340" w:type="dxa"/>
            <w:vAlign w:val="bottom"/>
          </w:tcPr>
          <w:p>
            <w:pPr>
              <w:spacing w:after="0"/>
              <w:rPr>
                <w:sz w:val="24"/>
                <w:szCs w:val="24"/>
                <w:color w:val="auto"/>
              </w:rPr>
            </w:pPr>
          </w:p>
        </w:tc>
        <w:tc>
          <w:tcPr>
            <w:tcW w:w="3420" w:type="dxa"/>
            <w:vAlign w:val="bottom"/>
            <w:gridSpan w:val="2"/>
          </w:tcPr>
          <w:p>
            <w:pPr>
              <w:ind w:left="700"/>
              <w:spacing w:after="0"/>
              <w:rPr>
                <w:sz w:val="20"/>
                <w:szCs w:val="20"/>
                <w:color w:val="auto"/>
              </w:rPr>
            </w:pPr>
            <w:r>
              <w:rPr>
                <w:rFonts w:ascii="Arial" w:cs="Arial" w:eastAsia="Arial" w:hAnsi="Arial"/>
                <w:sz w:val="18"/>
                <w:szCs w:val="18"/>
                <w:color w:val="auto"/>
              </w:rPr>
              <w:t>Expiration Date:</w:t>
            </w:r>
          </w:p>
        </w:tc>
        <w:tc>
          <w:tcPr>
            <w:tcW w:w="7480" w:type="dxa"/>
            <w:vAlign w:val="bottom"/>
          </w:tcPr>
          <w:p>
            <w:pPr>
              <w:ind w:left="1200"/>
              <w:spacing w:after="0"/>
              <w:rPr>
                <w:sz w:val="20"/>
                <w:szCs w:val="20"/>
                <w:color w:val="auto"/>
              </w:rPr>
            </w:pPr>
            <w:r>
              <w:rPr>
                <w:rFonts w:ascii="Arial" w:cs="Arial" w:eastAsia="Arial" w:hAnsi="Arial"/>
                <w:sz w:val="18"/>
                <w:szCs w:val="18"/>
                <w:color w:val="auto"/>
              </w:rPr>
              <w:t>June 15, 2026, subject to earlier exercise.</w:t>
            </w:r>
          </w:p>
        </w:tc>
      </w:tr>
      <w:tr>
        <w:trPr>
          <w:trHeight w:val="432"/>
        </w:trPr>
        <w:tc>
          <w:tcPr>
            <w:tcW w:w="340" w:type="dxa"/>
            <w:vAlign w:val="bottom"/>
          </w:tcPr>
          <w:p>
            <w:pPr>
              <w:spacing w:after="0"/>
              <w:rPr>
                <w:sz w:val="24"/>
                <w:szCs w:val="24"/>
                <w:color w:val="auto"/>
              </w:rPr>
            </w:pPr>
          </w:p>
        </w:tc>
        <w:tc>
          <w:tcPr>
            <w:tcW w:w="3420" w:type="dxa"/>
            <w:vAlign w:val="bottom"/>
            <w:gridSpan w:val="2"/>
          </w:tcPr>
          <w:p>
            <w:pPr>
              <w:ind w:left="700"/>
              <w:spacing w:after="0"/>
              <w:rPr>
                <w:sz w:val="20"/>
                <w:szCs w:val="20"/>
                <w:color w:val="auto"/>
              </w:rPr>
            </w:pPr>
            <w:r>
              <w:rPr>
                <w:rFonts w:ascii="Arial" w:cs="Arial" w:eastAsia="Arial" w:hAnsi="Arial"/>
                <w:sz w:val="18"/>
                <w:szCs w:val="18"/>
                <w:color w:val="auto"/>
              </w:rPr>
              <w:t>Multiple Exercise:</w:t>
            </w:r>
          </w:p>
        </w:tc>
        <w:tc>
          <w:tcPr>
            <w:tcW w:w="7480" w:type="dxa"/>
            <w:vAlign w:val="bottom"/>
          </w:tcPr>
          <w:p>
            <w:pPr>
              <w:ind w:left="1200"/>
              <w:spacing w:after="0"/>
              <w:rPr>
                <w:sz w:val="20"/>
                <w:szCs w:val="20"/>
                <w:color w:val="auto"/>
              </w:rPr>
            </w:pPr>
            <w:r>
              <w:rPr>
                <w:rFonts w:ascii="Arial" w:cs="Arial" w:eastAsia="Arial" w:hAnsi="Arial"/>
                <w:sz w:val="18"/>
                <w:szCs w:val="18"/>
                <w:color w:val="auto"/>
              </w:rPr>
              <w:t>Applicable, as described under “Automatic Exercise” below.</w:t>
            </w:r>
          </w:p>
        </w:tc>
      </w:tr>
      <w:tr>
        <w:trPr>
          <w:trHeight w:val="418"/>
        </w:trPr>
        <w:tc>
          <w:tcPr>
            <w:tcW w:w="340" w:type="dxa"/>
            <w:vAlign w:val="bottom"/>
          </w:tcPr>
          <w:p>
            <w:pPr>
              <w:spacing w:after="0"/>
              <w:rPr>
                <w:sz w:val="24"/>
                <w:szCs w:val="24"/>
                <w:color w:val="auto"/>
              </w:rPr>
            </w:pPr>
          </w:p>
        </w:tc>
        <w:tc>
          <w:tcPr>
            <w:tcW w:w="3420" w:type="dxa"/>
            <w:vAlign w:val="bottom"/>
            <w:gridSpan w:val="2"/>
          </w:tcPr>
          <w:p>
            <w:pPr>
              <w:ind w:left="700"/>
              <w:spacing w:after="0"/>
              <w:rPr>
                <w:sz w:val="20"/>
                <w:szCs w:val="20"/>
                <w:color w:val="auto"/>
              </w:rPr>
            </w:pPr>
            <w:r>
              <w:rPr>
                <w:rFonts w:ascii="Arial" w:cs="Arial" w:eastAsia="Arial" w:hAnsi="Arial"/>
                <w:sz w:val="18"/>
                <w:szCs w:val="18"/>
                <w:color w:val="auto"/>
              </w:rPr>
              <w:t>Automatic Exercise:</w:t>
            </w:r>
          </w:p>
        </w:tc>
        <w:tc>
          <w:tcPr>
            <w:tcW w:w="7480" w:type="dxa"/>
            <w:vAlign w:val="bottom"/>
          </w:tcPr>
          <w:p>
            <w:pPr>
              <w:ind w:left="1200"/>
              <w:spacing w:after="0"/>
              <w:rPr>
                <w:sz w:val="20"/>
                <w:szCs w:val="20"/>
                <w:color w:val="auto"/>
              </w:rPr>
            </w:pPr>
            <w:r>
              <w:rPr>
                <w:rFonts w:ascii="Arial" w:cs="Arial" w:eastAsia="Arial" w:hAnsi="Arial"/>
                <w:sz w:val="18"/>
                <w:szCs w:val="18"/>
                <w:color w:val="auto"/>
                <w:w w:val="96"/>
              </w:rPr>
              <w:t>Notwithstanding Section 3.4 of the Equity Definitions, on each Conversion Date in</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3"/>
              </w:rPr>
              <w:t>respect of which, if applicable, a Conversion Notice (as defined in the Indenture) that</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1"/>
              </w:rPr>
              <w:t>is effective as to Counterparty has been delivered by the relevant converting Holder, a</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2"/>
              </w:rPr>
              <w:t>number of Options equal to [(i)] the number of Convertible Notes in denominations of</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2"/>
              </w:rPr>
              <w:t>USD 1,000 as to which such Conversion Date has occurred [</w:t>
            </w:r>
            <w:r>
              <w:rPr>
                <w:rFonts w:ascii="Arial" w:cs="Arial" w:eastAsia="Arial" w:hAnsi="Arial"/>
                <w:sz w:val="18"/>
                <w:szCs w:val="18"/>
                <w:i w:val="1"/>
                <w:iCs w:val="1"/>
                <w:color w:val="auto"/>
                <w:w w:val="92"/>
              </w:rPr>
              <w:t>minus</w:t>
            </w:r>
            <w:r>
              <w:rPr>
                <w:rFonts w:ascii="Arial" w:cs="Arial" w:eastAsia="Arial" w:hAnsi="Arial"/>
                <w:sz w:val="18"/>
                <w:szCs w:val="18"/>
                <w:color w:val="auto"/>
                <w:w w:val="92"/>
              </w:rPr>
              <w:t xml:space="preserve"> (ii) the number of</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0"/>
              </w:rPr>
              <w:t>Options that are or are deemed to be automatically exercised on such Conversion Date</w:t>
            </w:r>
          </w:p>
        </w:tc>
      </w:tr>
      <w:tr>
        <w:trPr>
          <w:trHeight w:val="212"/>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1"/>
              </w:rPr>
              <w:t>under the Base Call Option Transaction Confirmation letter agreement dated June 15,</w:t>
            </w:r>
          </w:p>
        </w:tc>
      </w:tr>
      <w:tr>
        <w:trPr>
          <w:trHeight w:val="220"/>
        </w:trPr>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7"/>
              </w:rPr>
              <w:t>2021 between Dealer and Counterparty (the “</w:t>
            </w:r>
            <w:r>
              <w:rPr>
                <w:rFonts w:ascii="Arial" w:cs="Arial" w:eastAsia="Arial" w:hAnsi="Arial"/>
                <w:sz w:val="18"/>
                <w:szCs w:val="18"/>
                <w:b w:val="1"/>
                <w:bCs w:val="1"/>
                <w:color w:val="auto"/>
                <w:w w:val="97"/>
              </w:rPr>
              <w:t>Base Call Option Confirmation</w:t>
            </w:r>
            <w:r>
              <w:rPr>
                <w:rFonts w:ascii="Arial" w:cs="Arial" w:eastAsia="Arial" w:hAnsi="Arial"/>
                <w:sz w:val="18"/>
                <w:szCs w:val="18"/>
                <w:color w:val="auto"/>
                <w:w w:val="97"/>
              </w:rPr>
              <w:t>”),]</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4"/>
              </w:rPr>
              <w:t xml:space="preserve">shall be deemed to be automatically exercised;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such Options shall be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1"/>
              </w:rPr>
              <w:t>exercised or deemed exercised only if Counterparty has provided a Notice of Exercise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rPr>
              <w:t>to Dealer in accordance with “Notice of Exercise” below.</w:t>
            </w:r>
          </w:p>
        </w:tc>
      </w:tr>
      <w:tr>
        <w:trPr>
          <w:trHeight w:val="418"/>
        </w:trPr>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w w:val="99"/>
              </w:rPr>
              <w:t>Notwithstanding the foregoing, in no event shall the number of Options that are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rPr>
              <w:t>exercised or deemed exercised hereunder exceed the Number of Options.</w:t>
            </w:r>
          </w:p>
        </w:tc>
      </w:tr>
      <w:tr>
        <w:trPr>
          <w:trHeight w:val="675"/>
        </w:trPr>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35"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ind w:left="1040"/>
              <w:spacing w:after="0"/>
              <w:rPr>
                <w:sz w:val="20"/>
                <w:szCs w:val="20"/>
                <w:color w:val="auto"/>
              </w:rPr>
            </w:pPr>
            <w:r>
              <w:rPr>
                <w:rFonts w:ascii="Arial" w:cs="Arial" w:eastAsia="Arial" w:hAnsi="Arial"/>
                <w:sz w:val="18"/>
                <w:szCs w:val="18"/>
                <w:color w:val="auto"/>
              </w:rPr>
              <w:t>Notice of Exercise:</w:t>
            </w:r>
          </w:p>
        </w:tc>
        <w:tc>
          <w:tcPr>
            <w:tcW w:w="7320" w:type="dxa"/>
            <w:vAlign w:val="bottom"/>
          </w:tcPr>
          <w:p>
            <w:pPr>
              <w:ind w:left="1040"/>
              <w:spacing w:after="0"/>
              <w:rPr>
                <w:sz w:val="20"/>
                <w:szCs w:val="20"/>
                <w:color w:val="auto"/>
              </w:rPr>
            </w:pPr>
            <w:r>
              <w:rPr>
                <w:rFonts w:ascii="Arial" w:cs="Arial" w:eastAsia="Arial" w:hAnsi="Arial"/>
                <w:sz w:val="18"/>
                <w:szCs w:val="18"/>
                <w:color w:val="auto"/>
                <w:w w:val="98"/>
              </w:rPr>
              <w:t>Notwithstanding  anything  to  the  contrary  in  the  Equity  Definitions  or  under</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4"/>
              </w:rPr>
              <w:t>“Automatic Exercise” above, in order to exercise any Options relating to Convertible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6"/>
              </w:rPr>
              <w:t>Notes with a Conversion Date occurring on or after the 55th Scheduled Valid Day</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2"/>
              </w:rPr>
              <w:t>preceding the Expiration Date, Counterparty must notify Dealer in writing before 5:00</w:t>
            </w:r>
          </w:p>
        </w:tc>
      </w:tr>
      <w:tr>
        <w:trPr>
          <w:trHeight w:val="212"/>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2"/>
              </w:rPr>
              <w:t>p.m. (New York City time) on the second Scheduled Valid Day immediately preceding</w:t>
            </w:r>
          </w:p>
        </w:tc>
      </w:tr>
      <w:tr>
        <w:trPr>
          <w:trHeight w:val="220"/>
        </w:trPr>
        <w:tc>
          <w:tcPr>
            <w:tcW w:w="3920" w:type="dxa"/>
            <w:vAlign w:val="bottom"/>
          </w:tcPr>
          <w:p>
            <w:pPr>
              <w:spacing w:after="0"/>
              <w:rPr>
                <w:sz w:val="19"/>
                <w:szCs w:val="19"/>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3"/>
              </w:rPr>
              <w:t>the Expiration Date (the “</w:t>
            </w:r>
            <w:r>
              <w:rPr>
                <w:rFonts w:ascii="Arial" w:cs="Arial" w:eastAsia="Arial" w:hAnsi="Arial"/>
                <w:sz w:val="18"/>
                <w:szCs w:val="18"/>
                <w:b w:val="1"/>
                <w:bCs w:val="1"/>
                <w:color w:val="auto"/>
                <w:w w:val="93"/>
              </w:rPr>
              <w:t>Notice Deadline</w:t>
            </w:r>
            <w:r>
              <w:rPr>
                <w:rFonts w:ascii="Arial" w:cs="Arial" w:eastAsia="Arial" w:hAnsi="Arial"/>
                <w:sz w:val="18"/>
                <w:szCs w:val="18"/>
                <w:color w:val="auto"/>
                <w:w w:val="93"/>
              </w:rPr>
              <w:t xml:space="preserve">”) of the number of such Options; </w:t>
            </w:r>
            <w:r>
              <w:rPr>
                <w:rFonts w:ascii="Arial" w:cs="Arial" w:eastAsia="Arial" w:hAnsi="Arial"/>
                <w:sz w:val="18"/>
                <w:szCs w:val="18"/>
                <w:i w:val="1"/>
                <w:iCs w:val="1"/>
                <w:color w:val="auto"/>
                <w:w w:val="93"/>
              </w:rPr>
              <w:t>provided</w:t>
            </w:r>
          </w:p>
        </w:tc>
      </w:tr>
      <w:tr>
        <w:trPr>
          <w:trHeight w:val="212"/>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3"/>
              </w:rPr>
              <w:t>that if the Relevant Settlement Method for such Options is (x) Cash Settlement or (y)</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1"/>
              </w:rPr>
              <w:t>Combination Settlement, Dealer shall have received a separate notice (the “</w:t>
            </w:r>
            <w:r>
              <w:rPr>
                <w:rFonts w:ascii="Arial" w:cs="Arial" w:eastAsia="Arial" w:hAnsi="Arial"/>
                <w:sz w:val="18"/>
                <w:szCs w:val="18"/>
                <w:b w:val="1"/>
                <w:bCs w:val="1"/>
                <w:color w:val="auto"/>
                <w:w w:val="91"/>
              </w:rPr>
              <w:t>Notice of</w:t>
            </w:r>
          </w:p>
        </w:tc>
      </w:tr>
      <w:tr>
        <w:trPr>
          <w:trHeight w:val="224"/>
        </w:trPr>
        <w:tc>
          <w:tcPr>
            <w:tcW w:w="3920" w:type="dxa"/>
            <w:vAlign w:val="bottom"/>
          </w:tcPr>
          <w:p>
            <w:pPr>
              <w:spacing w:after="0"/>
              <w:rPr>
                <w:sz w:val="19"/>
                <w:szCs w:val="19"/>
                <w:color w:val="auto"/>
              </w:rPr>
            </w:pPr>
          </w:p>
        </w:tc>
        <w:tc>
          <w:tcPr>
            <w:tcW w:w="7320" w:type="dxa"/>
            <w:vAlign w:val="bottom"/>
          </w:tcPr>
          <w:p>
            <w:pPr>
              <w:ind w:left="1040"/>
              <w:spacing w:after="0"/>
              <w:rPr>
                <w:sz w:val="20"/>
                <w:szCs w:val="20"/>
                <w:color w:val="auto"/>
              </w:rPr>
            </w:pPr>
            <w:r>
              <w:rPr>
                <w:rFonts w:ascii="Arial" w:cs="Arial" w:eastAsia="Arial" w:hAnsi="Arial"/>
                <w:sz w:val="18"/>
                <w:szCs w:val="18"/>
                <w:b w:val="1"/>
                <w:bCs w:val="1"/>
                <w:color w:val="auto"/>
                <w:w w:val="92"/>
              </w:rPr>
              <w:t>Final Settlement Method</w:t>
            </w:r>
            <w:r>
              <w:rPr>
                <w:rFonts w:ascii="Arial" w:cs="Arial" w:eastAsia="Arial" w:hAnsi="Arial"/>
                <w:sz w:val="18"/>
                <w:szCs w:val="18"/>
                <w:color w:val="auto"/>
                <w:w w:val="92"/>
              </w:rPr>
              <w:t>”) in respect of all such Convertible Notes before 9:00 a.m.</w:t>
            </w:r>
          </w:p>
        </w:tc>
      </w:tr>
      <w:tr>
        <w:trPr>
          <w:trHeight w:val="253"/>
        </w:trPr>
        <w:tc>
          <w:tcPr>
            <w:tcW w:w="3920" w:type="dxa"/>
            <w:vAlign w:val="bottom"/>
          </w:tcPr>
          <w:p>
            <w:pPr>
              <w:spacing w:after="0"/>
              <w:rPr>
                <w:sz w:val="21"/>
                <w:szCs w:val="21"/>
                <w:color w:val="auto"/>
              </w:rPr>
            </w:pPr>
          </w:p>
        </w:tc>
        <w:tc>
          <w:tcPr>
            <w:tcW w:w="7320" w:type="dxa"/>
            <w:vAlign w:val="bottom"/>
          </w:tcPr>
          <w:p>
            <w:pPr>
              <w:ind w:left="1040"/>
              <w:spacing w:after="0" w:line="252" w:lineRule="exact"/>
              <w:rPr>
                <w:sz w:val="20"/>
                <w:szCs w:val="20"/>
                <w:color w:val="auto"/>
              </w:rPr>
            </w:pPr>
            <w:r>
              <w:rPr>
                <w:rFonts w:ascii="Arial" w:cs="Arial" w:eastAsia="Arial" w:hAnsi="Arial"/>
                <w:sz w:val="18"/>
                <w:szCs w:val="18"/>
                <w:color w:val="auto"/>
                <w:w w:val="92"/>
              </w:rPr>
              <w:t>(New York City time) on the 55</w:t>
            </w:r>
            <w:r>
              <w:rPr>
                <w:rFonts w:ascii="Arial" w:cs="Arial" w:eastAsia="Arial" w:hAnsi="Arial"/>
                <w:sz w:val="29"/>
                <w:szCs w:val="29"/>
                <w:color w:val="auto"/>
                <w:w w:val="92"/>
                <w:vertAlign w:val="superscript"/>
              </w:rPr>
              <w:t>th</w:t>
            </w:r>
            <w:r>
              <w:rPr>
                <w:rFonts w:ascii="Arial" w:cs="Arial" w:eastAsia="Arial" w:hAnsi="Arial"/>
                <w:sz w:val="18"/>
                <w:szCs w:val="18"/>
                <w:color w:val="auto"/>
                <w:w w:val="92"/>
              </w:rPr>
              <w:t xml:space="preserve"> Scheduled Valid Day preceding the Expiration Date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rPr>
              <w:t>specifying (1) the Relevant Settlement Method for such Options and (2) if the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6"/>
              </w:rPr>
              <w:t>settlement method for the related Convertible Notes is not Settlement in Cash (as</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3"/>
              </w:rPr>
              <w:t>defined below), the fixed amount of cash per Convertible Note that Counterparty has</w:t>
            </w:r>
          </w:p>
        </w:tc>
      </w:tr>
      <w:tr>
        <w:trPr>
          <w:trHeight w:val="212"/>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4"/>
              </w:rPr>
              <w:t>elected to deliver to Holders (as such term is defined in the Indenture) of the related</w:t>
            </w:r>
          </w:p>
        </w:tc>
      </w:tr>
      <w:tr>
        <w:trPr>
          <w:trHeight w:val="220"/>
        </w:trPr>
        <w:tc>
          <w:tcPr>
            <w:tcW w:w="3920" w:type="dxa"/>
            <w:vAlign w:val="bottom"/>
          </w:tcPr>
          <w:p>
            <w:pPr>
              <w:spacing w:after="0"/>
              <w:rPr>
                <w:sz w:val="19"/>
                <w:szCs w:val="19"/>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4"/>
              </w:rPr>
              <w:t>Convertible Notes (the “</w:t>
            </w:r>
            <w:r>
              <w:rPr>
                <w:rFonts w:ascii="Arial" w:cs="Arial" w:eastAsia="Arial" w:hAnsi="Arial"/>
                <w:sz w:val="18"/>
                <w:szCs w:val="18"/>
                <w:b w:val="1"/>
                <w:bCs w:val="1"/>
                <w:color w:val="auto"/>
                <w:w w:val="94"/>
              </w:rPr>
              <w:t>Specified Cash Amount</w:t>
            </w:r>
            <w:r>
              <w:rPr>
                <w:rFonts w:ascii="Arial" w:cs="Arial" w:eastAsia="Arial" w:hAnsi="Arial"/>
                <w:sz w:val="18"/>
                <w:szCs w:val="18"/>
                <w:color w:val="auto"/>
                <w:w w:val="94"/>
              </w:rPr>
              <w:t>”). Counterparty acknowledges its</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9"/>
              </w:rPr>
              <w:t>responsibilities under applicable securities laws, and in particular Section 9 and</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4"/>
              </w:rPr>
              <w:t>Section 10(b) of the Exchange Act (as defined below) and the rules and regulations</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8"/>
              </w:rPr>
              <w:t>thereunder, in respect of any election of a settlement method with respect to the</w:t>
            </w:r>
          </w:p>
        </w:tc>
      </w:tr>
      <w:tr>
        <w:trPr>
          <w:trHeight w:val="230"/>
        </w:trPr>
        <w:tc>
          <w:tcPr>
            <w:tcW w:w="3920" w:type="dxa"/>
            <w:vAlign w:val="bottom"/>
          </w:tcPr>
          <w:p>
            <w:pPr>
              <w:spacing w:after="0"/>
              <w:rPr>
                <w:sz w:val="20"/>
                <w:szCs w:val="20"/>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rPr>
              <w:t>Convertible Notes.</w:t>
            </w:r>
          </w:p>
        </w:tc>
      </w:tr>
      <w:tr>
        <w:trPr>
          <w:trHeight w:val="418"/>
        </w:trPr>
        <w:tc>
          <w:tcPr>
            <w:tcW w:w="3920" w:type="dxa"/>
            <w:vAlign w:val="bottom"/>
          </w:tcPr>
          <w:p>
            <w:pPr>
              <w:spacing w:after="0"/>
              <w:rPr>
                <w:sz w:val="24"/>
                <w:szCs w:val="24"/>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9"/>
              </w:rPr>
              <w:t>Notwithstanding anything to the contrary herein or in the Equity Definitions, any</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3"/>
              </w:rPr>
              <w:t>Notice of Exercise and the related exercise of the related Options shall be effective if</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7"/>
              </w:rPr>
              <w:t>given after the Notice Deadline but prior to 5:00 p.m. (New York City time) on the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7"/>
              </w:rPr>
              <w:t>fifth Exchange Business Day following the Notice Deadline and, in respect of any</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2"/>
              </w:rPr>
              <w:t>Options in respect of which such notice is delivered after the relevant Notice Deadline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3"/>
              </w:rPr>
              <w:t>pursuant to this paragraph, the Calculation Agent shall have the right to (i) postpone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8"/>
              </w:rPr>
              <w:t>the Settlement Date and (ii) adjust the number of Shares and/or amount of cash</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8"/>
              </w:rPr>
              <w:t>deliverable by Dealer with respect to such Options in a commercially reasonable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4"/>
              </w:rPr>
              <w:t>manner  as  appropriate  to  reflect  the  commercially  reasonable  additional  costs</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8"/>
              </w:rPr>
              <w:t>(including,  but  not  limited  to,  hedging  mismatches  and  market  losses)  and</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6"/>
              </w:rPr>
              <w:t>commercially  reasonable  expenses  incurred  by  Dealer  in  connection  with  its</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8"/>
              </w:rPr>
              <w:t>commercially  reasonable  hedging  activities  (including  the  unwinding  of  any</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5"/>
              </w:rPr>
              <w:t>commercially reasonable hedge position) as a result of Dealer not having received</w:t>
            </w:r>
          </w:p>
        </w:tc>
      </w:tr>
      <w:tr>
        <w:trPr>
          <w:trHeight w:val="230"/>
        </w:trPr>
        <w:tc>
          <w:tcPr>
            <w:tcW w:w="3920" w:type="dxa"/>
            <w:vAlign w:val="bottom"/>
          </w:tcPr>
          <w:p>
            <w:pPr>
              <w:spacing w:after="0"/>
              <w:rPr>
                <w:sz w:val="20"/>
                <w:szCs w:val="20"/>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rPr>
              <w:t>such notice on or prior to the Notice Deadline.</w:t>
            </w:r>
          </w:p>
        </w:tc>
      </w:tr>
      <w:tr>
        <w:trPr>
          <w:trHeight w:val="418"/>
        </w:trPr>
        <w:tc>
          <w:tcPr>
            <w:tcW w:w="3920" w:type="dxa"/>
            <w:vAlign w:val="bottom"/>
          </w:tcPr>
          <w:p>
            <w:pPr>
              <w:ind w:left="1040"/>
              <w:spacing w:after="0"/>
              <w:rPr>
                <w:sz w:val="20"/>
                <w:szCs w:val="20"/>
                <w:color w:val="auto"/>
              </w:rPr>
            </w:pPr>
            <w:r>
              <w:rPr>
                <w:rFonts w:ascii="Arial" w:cs="Arial" w:eastAsia="Arial" w:hAnsi="Arial"/>
                <w:sz w:val="18"/>
                <w:szCs w:val="18"/>
                <w:color w:val="auto"/>
              </w:rPr>
              <w:t>Valuation Time:</w:t>
            </w:r>
          </w:p>
        </w:tc>
        <w:tc>
          <w:tcPr>
            <w:tcW w:w="7320" w:type="dxa"/>
            <w:vAlign w:val="bottom"/>
          </w:tcPr>
          <w:p>
            <w:pPr>
              <w:ind w:left="1040"/>
              <w:spacing w:after="0"/>
              <w:rPr>
                <w:sz w:val="20"/>
                <w:szCs w:val="20"/>
                <w:color w:val="auto"/>
              </w:rPr>
            </w:pPr>
            <w:r>
              <w:rPr>
                <w:rFonts w:ascii="Arial" w:cs="Arial" w:eastAsia="Arial" w:hAnsi="Arial"/>
                <w:sz w:val="18"/>
                <w:szCs w:val="18"/>
                <w:color w:val="auto"/>
                <w:w w:val="92"/>
              </w:rPr>
              <w:t xml:space="preserve">At the close of trading of the regular trading session on the Exchange;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5"/>
              </w:rPr>
              <w:t>the principal trading session is extended, the Calculation Agent shall determine the</w:t>
            </w:r>
          </w:p>
        </w:tc>
      </w:tr>
      <w:tr>
        <w:trPr>
          <w:trHeight w:val="230"/>
        </w:trPr>
        <w:tc>
          <w:tcPr>
            <w:tcW w:w="3920" w:type="dxa"/>
            <w:vAlign w:val="bottom"/>
          </w:tcPr>
          <w:p>
            <w:pPr>
              <w:spacing w:after="0"/>
              <w:rPr>
                <w:sz w:val="20"/>
                <w:szCs w:val="20"/>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rPr>
              <w:t>Valuation Time in its commercially reasonable discretion.</w:t>
            </w:r>
          </w:p>
        </w:tc>
      </w:tr>
      <w:tr>
        <w:trPr>
          <w:trHeight w:val="418"/>
        </w:trPr>
        <w:tc>
          <w:tcPr>
            <w:tcW w:w="3920" w:type="dxa"/>
            <w:vAlign w:val="bottom"/>
          </w:tcPr>
          <w:p>
            <w:pPr>
              <w:ind w:left="1040"/>
              <w:spacing w:after="0"/>
              <w:rPr>
                <w:sz w:val="20"/>
                <w:szCs w:val="20"/>
                <w:color w:val="auto"/>
              </w:rPr>
            </w:pPr>
            <w:r>
              <w:rPr>
                <w:rFonts w:ascii="Arial" w:cs="Arial" w:eastAsia="Arial" w:hAnsi="Arial"/>
                <w:sz w:val="18"/>
                <w:szCs w:val="18"/>
                <w:color w:val="auto"/>
              </w:rPr>
              <w:t>Market Disruption Event:</w:t>
            </w:r>
          </w:p>
        </w:tc>
        <w:tc>
          <w:tcPr>
            <w:tcW w:w="7320" w:type="dxa"/>
            <w:vAlign w:val="bottom"/>
          </w:tcPr>
          <w:p>
            <w:pPr>
              <w:ind w:left="1040"/>
              <w:spacing w:after="0"/>
              <w:rPr>
                <w:sz w:val="20"/>
                <w:szCs w:val="20"/>
                <w:color w:val="auto"/>
              </w:rPr>
            </w:pPr>
            <w:r>
              <w:rPr>
                <w:rFonts w:ascii="Arial" w:cs="Arial" w:eastAsia="Arial" w:hAnsi="Arial"/>
                <w:sz w:val="18"/>
                <w:szCs w:val="18"/>
                <w:color w:val="auto"/>
              </w:rPr>
              <w:t>Section 6.3(a) of the Equity Definitions is hereby replaced in its entirety by the</w:t>
            </w:r>
          </w:p>
        </w:tc>
      </w:tr>
      <w:tr>
        <w:trPr>
          <w:trHeight w:val="230"/>
        </w:trPr>
        <w:tc>
          <w:tcPr>
            <w:tcW w:w="3920" w:type="dxa"/>
            <w:vAlign w:val="bottom"/>
          </w:tcPr>
          <w:p>
            <w:pPr>
              <w:spacing w:after="0"/>
              <w:rPr>
                <w:sz w:val="20"/>
                <w:szCs w:val="20"/>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rPr>
              <w:t>following:</w:t>
            </w:r>
          </w:p>
        </w:tc>
      </w:tr>
      <w:tr>
        <w:trPr>
          <w:trHeight w:val="418"/>
        </w:trPr>
        <w:tc>
          <w:tcPr>
            <w:tcW w:w="3920" w:type="dxa"/>
            <w:vAlign w:val="bottom"/>
          </w:tcPr>
          <w:p>
            <w:pPr>
              <w:spacing w:after="0"/>
              <w:rPr>
                <w:sz w:val="24"/>
                <w:szCs w:val="24"/>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5"/>
              </w:rPr>
              <w:t>“‘Market Disruption Event’ means, in respect of a Share, (i) a failure by the primary</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2"/>
              </w:rPr>
              <w:t>United States national or regional securities exchange or market on which the Shares</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3"/>
              </w:rPr>
              <w:t>are listed or admitted for trading to open for trading during its regular trading session</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8"/>
              </w:rPr>
              <w:t>or (ii) the occurrence or existence prior to 1:00 p.m. (New York City time) on any</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rPr>
              <w:t>Scheduled Valid Day for the Shares for more than one half-hour period in the</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5"/>
              </w:rPr>
              <w:t>aggregate during regular trading hours of any suspension or limitation imposed on</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4"/>
              </w:rPr>
              <w:t>trading (by reason of movements in price exceeding limits permitted by the relevant</w:t>
            </w:r>
          </w:p>
        </w:tc>
      </w:tr>
      <w:tr>
        <w:trPr>
          <w:trHeight w:val="216"/>
        </w:trPr>
        <w:tc>
          <w:tcPr>
            <w:tcW w:w="3920" w:type="dxa"/>
            <w:vAlign w:val="bottom"/>
          </w:tcPr>
          <w:p>
            <w:pPr>
              <w:spacing w:after="0"/>
              <w:rPr>
                <w:sz w:val="18"/>
                <w:szCs w:val="18"/>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w w:val="97"/>
              </w:rPr>
              <w:t>stock exchange or otherwise) in the Shares or in any options contracts or futures</w:t>
            </w:r>
          </w:p>
        </w:tc>
      </w:tr>
      <w:tr>
        <w:trPr>
          <w:trHeight w:val="230"/>
        </w:trPr>
        <w:tc>
          <w:tcPr>
            <w:tcW w:w="3920" w:type="dxa"/>
            <w:vAlign w:val="bottom"/>
          </w:tcPr>
          <w:p>
            <w:pPr>
              <w:spacing w:after="0"/>
              <w:rPr>
                <w:sz w:val="20"/>
                <w:szCs w:val="20"/>
                <w:color w:val="auto"/>
              </w:rPr>
            </w:pPr>
          </w:p>
        </w:tc>
        <w:tc>
          <w:tcPr>
            <w:tcW w:w="7320" w:type="dxa"/>
            <w:vAlign w:val="bottom"/>
          </w:tcPr>
          <w:p>
            <w:pPr>
              <w:ind w:left="1040"/>
              <w:spacing w:after="0"/>
              <w:rPr>
                <w:sz w:val="20"/>
                <w:szCs w:val="20"/>
                <w:color w:val="auto"/>
              </w:rPr>
            </w:pPr>
            <w:r>
              <w:rPr>
                <w:rFonts w:ascii="Arial" w:cs="Arial" w:eastAsia="Arial" w:hAnsi="Arial"/>
                <w:sz w:val="18"/>
                <w:szCs w:val="18"/>
                <w:color w:val="auto"/>
              </w:rPr>
              <w:t>contracts relating to the Shares.”</w:t>
            </w:r>
          </w:p>
        </w:tc>
      </w:tr>
      <w:tr>
        <w:trPr>
          <w:trHeight w:val="675"/>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35"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Settlement Terms</w:t>
            </w:r>
            <w:r>
              <w:rPr>
                <w:rFonts w:ascii="Arial" w:cs="Arial" w:eastAsia="Arial" w:hAnsi="Arial"/>
                <w:sz w:val="18"/>
                <w:szCs w:val="18"/>
                <w:color w:val="auto"/>
              </w:rPr>
              <w:t>.</w:t>
            </w:r>
          </w:p>
        </w:tc>
        <w:tc>
          <w:tcPr>
            <w:tcW w:w="71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38"/>
        </w:trPr>
        <w:tc>
          <w:tcPr>
            <w:tcW w:w="340" w:type="dxa"/>
            <w:vAlign w:val="bottom"/>
          </w:tcPr>
          <w:p>
            <w:pPr>
              <w:spacing w:after="0"/>
              <w:rPr>
                <w:sz w:val="24"/>
                <w:szCs w:val="24"/>
                <w:color w:val="auto"/>
              </w:rPr>
            </w:pPr>
          </w:p>
        </w:tc>
        <w:tc>
          <w:tcPr>
            <w:tcW w:w="3720" w:type="dxa"/>
            <w:vAlign w:val="bottom"/>
            <w:gridSpan w:val="2"/>
          </w:tcPr>
          <w:p>
            <w:pPr>
              <w:ind w:left="700"/>
              <w:spacing w:after="0"/>
              <w:rPr>
                <w:sz w:val="20"/>
                <w:szCs w:val="20"/>
                <w:color w:val="auto"/>
              </w:rPr>
            </w:pPr>
            <w:r>
              <w:rPr>
                <w:rFonts w:ascii="Arial" w:cs="Arial" w:eastAsia="Arial" w:hAnsi="Arial"/>
                <w:sz w:val="18"/>
                <w:szCs w:val="18"/>
                <w:color w:val="auto"/>
              </w:rPr>
              <w:t>Settlement Method:</w:t>
            </w:r>
          </w:p>
        </w:tc>
        <w:tc>
          <w:tcPr>
            <w:tcW w:w="7180" w:type="dxa"/>
            <w:vAlign w:val="bottom"/>
          </w:tcPr>
          <w:p>
            <w:pPr>
              <w:ind w:left="900"/>
              <w:spacing w:after="0"/>
              <w:rPr>
                <w:sz w:val="20"/>
                <w:szCs w:val="20"/>
                <w:color w:val="auto"/>
              </w:rPr>
            </w:pPr>
            <w:r>
              <w:rPr>
                <w:rFonts w:ascii="Arial" w:cs="Arial" w:eastAsia="Arial" w:hAnsi="Arial"/>
                <w:sz w:val="18"/>
                <w:szCs w:val="18"/>
                <w:color w:val="auto"/>
                <w:w w:val="99"/>
              </w:rPr>
              <w:t xml:space="preserve">For any Option, Net Share Settlement;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 the Relevant Settlement</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Method set forth below for such Option is not Net Share Settlement, then the</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5"/>
              </w:rPr>
              <w:t>Settlement Method for such Option shall be such Relevant Settlement Method, but</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4"/>
              </w:rPr>
              <w:t>only if Counterparty shall have notified Dealer of the Relevant Settlement Method in</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4"/>
              </w:rPr>
              <w:t>the Notice of Exercise or Notice of Final Settlement Method, as applicable, for such</w:t>
            </w:r>
          </w:p>
        </w:tc>
      </w:tr>
      <w:tr>
        <w:trPr>
          <w:trHeight w:val="230"/>
        </w:trPr>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Option.</w:t>
            </w:r>
          </w:p>
        </w:tc>
      </w:tr>
      <w:tr>
        <w:trPr>
          <w:trHeight w:val="432"/>
        </w:trPr>
        <w:tc>
          <w:tcPr>
            <w:tcW w:w="340" w:type="dxa"/>
            <w:vAlign w:val="bottom"/>
          </w:tcPr>
          <w:p>
            <w:pPr>
              <w:spacing w:after="0"/>
              <w:rPr>
                <w:sz w:val="24"/>
                <w:szCs w:val="24"/>
                <w:color w:val="auto"/>
              </w:rPr>
            </w:pPr>
          </w:p>
        </w:tc>
        <w:tc>
          <w:tcPr>
            <w:tcW w:w="3720" w:type="dxa"/>
            <w:vAlign w:val="bottom"/>
            <w:gridSpan w:val="2"/>
          </w:tcPr>
          <w:p>
            <w:pPr>
              <w:ind w:left="700"/>
              <w:spacing w:after="0"/>
              <w:rPr>
                <w:sz w:val="20"/>
                <w:szCs w:val="20"/>
                <w:color w:val="auto"/>
              </w:rPr>
            </w:pPr>
            <w:r>
              <w:rPr>
                <w:rFonts w:ascii="Arial" w:cs="Arial" w:eastAsia="Arial" w:hAnsi="Arial"/>
                <w:sz w:val="18"/>
                <w:szCs w:val="18"/>
                <w:color w:val="auto"/>
              </w:rPr>
              <w:t>Relevant Settlement Method:</w:t>
            </w:r>
          </w:p>
        </w:tc>
        <w:tc>
          <w:tcPr>
            <w:tcW w:w="7180" w:type="dxa"/>
            <w:vAlign w:val="bottom"/>
          </w:tcPr>
          <w:p>
            <w:pPr>
              <w:ind w:left="900"/>
              <w:spacing w:after="0"/>
              <w:rPr>
                <w:sz w:val="20"/>
                <w:szCs w:val="20"/>
                <w:color w:val="auto"/>
              </w:rPr>
            </w:pPr>
            <w:r>
              <w:rPr>
                <w:rFonts w:ascii="Arial" w:cs="Arial" w:eastAsia="Arial" w:hAnsi="Arial"/>
                <w:sz w:val="18"/>
                <w:szCs w:val="18"/>
                <w:color w:val="auto"/>
              </w:rPr>
              <w:t>In respect of any Option:</w:t>
            </w:r>
          </w:p>
        </w:tc>
      </w:tr>
      <w:tr>
        <w:trPr>
          <w:trHeight w:val="418"/>
        </w:trPr>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3"/>
              </w:rPr>
              <w:t>(i) if Counterparty has elected (or is deemed to have elected) to settle its conversion</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5"/>
              </w:rPr>
              <w:t>obligations in respect of the related Convertible Note in a combination of cash and</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9"/>
              </w:rPr>
              <w:t>Shares pursuant to Section 5.03(B)(i)(2) of the Indenture with a Specified Cash</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2"/>
              </w:rPr>
              <w:t>Amount equal to USD 1,000, then, in each case, the Relevant Settlement Method for</w:t>
            </w:r>
          </w:p>
        </w:tc>
      </w:tr>
      <w:tr>
        <w:trPr>
          <w:trHeight w:val="230"/>
        </w:trPr>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such Option shall be Net Share Settlement;</w:t>
            </w:r>
          </w:p>
        </w:tc>
      </w:tr>
      <w:tr>
        <w:trPr>
          <w:trHeight w:val="418"/>
        </w:trPr>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(ii) if Counterparty has elected to settle its conversion obligations in respect of the</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related Convertible Note in a combination of cash and Shares pursuant to Section</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2"/>
              </w:rPr>
              <w:t>5.03(B)(i)(2) of the Indenture with a Specified Cash Amount greater than USD 1,000,</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then  the  Relevant  Settlement  Method  for  such  Option  shall  be  Combination</w:t>
            </w:r>
          </w:p>
        </w:tc>
      </w:tr>
      <w:tr>
        <w:trPr>
          <w:trHeight w:val="230"/>
        </w:trPr>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Settlement; and</w:t>
            </w:r>
          </w:p>
        </w:tc>
      </w:tr>
      <w:tr>
        <w:trPr>
          <w:trHeight w:val="418"/>
        </w:trPr>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(iii) if Counterparty has elected to settle its conversion obligations in respect of the</w:t>
            </w:r>
          </w:p>
        </w:tc>
      </w:tr>
      <w:tr>
        <w:trPr>
          <w:trHeight w:val="212"/>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9"/>
              </w:rPr>
              <w:t>related Convertible Note entirely in cash pursuant to Section 5.03(B)(i)(1) of the</w:t>
            </w:r>
          </w:p>
        </w:tc>
      </w:tr>
      <w:tr>
        <w:trPr>
          <w:trHeight w:val="220"/>
        </w:trPr>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5"/>
              </w:rPr>
              <w:t>Indenture  (such  settlement  method,  “</w:t>
            </w:r>
            <w:r>
              <w:rPr>
                <w:rFonts w:ascii="Arial" w:cs="Arial" w:eastAsia="Arial" w:hAnsi="Arial"/>
                <w:sz w:val="18"/>
                <w:szCs w:val="18"/>
                <w:b w:val="1"/>
                <w:bCs w:val="1"/>
                <w:color w:val="auto"/>
                <w:w w:val="95"/>
              </w:rPr>
              <w:t>Settlement in Cash</w:t>
            </w:r>
            <w:r>
              <w:rPr>
                <w:rFonts w:ascii="Arial" w:cs="Arial" w:eastAsia="Arial" w:hAnsi="Arial"/>
                <w:sz w:val="18"/>
                <w:szCs w:val="18"/>
                <w:color w:val="auto"/>
                <w:w w:val="95"/>
              </w:rPr>
              <w:t>”),  then  the  Relevant</w:t>
            </w:r>
          </w:p>
        </w:tc>
      </w:tr>
      <w:tr>
        <w:trPr>
          <w:trHeight w:val="230"/>
        </w:trPr>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Settlement Method for such Option shall be Cash Settlement.</w:t>
            </w:r>
          </w:p>
        </w:tc>
      </w:tr>
      <w:tr>
        <w:trPr>
          <w:trHeight w:val="418"/>
        </w:trPr>
        <w:tc>
          <w:tcPr>
            <w:tcW w:w="340" w:type="dxa"/>
            <w:vAlign w:val="bottom"/>
          </w:tcPr>
          <w:p>
            <w:pPr>
              <w:spacing w:after="0"/>
              <w:rPr>
                <w:sz w:val="24"/>
                <w:szCs w:val="24"/>
                <w:color w:val="auto"/>
              </w:rPr>
            </w:pPr>
          </w:p>
        </w:tc>
        <w:tc>
          <w:tcPr>
            <w:tcW w:w="3720" w:type="dxa"/>
            <w:vAlign w:val="bottom"/>
            <w:gridSpan w:val="2"/>
          </w:tcPr>
          <w:p>
            <w:pPr>
              <w:ind w:left="700"/>
              <w:spacing w:after="0"/>
              <w:rPr>
                <w:sz w:val="20"/>
                <w:szCs w:val="20"/>
                <w:color w:val="auto"/>
              </w:rPr>
            </w:pPr>
            <w:r>
              <w:rPr>
                <w:rFonts w:ascii="Arial" w:cs="Arial" w:eastAsia="Arial" w:hAnsi="Arial"/>
                <w:sz w:val="18"/>
                <w:szCs w:val="18"/>
                <w:color w:val="auto"/>
              </w:rPr>
              <w:t>Net Share Settlement:</w:t>
            </w:r>
          </w:p>
        </w:tc>
        <w:tc>
          <w:tcPr>
            <w:tcW w:w="7180" w:type="dxa"/>
            <w:vAlign w:val="bottom"/>
          </w:tcPr>
          <w:p>
            <w:pPr>
              <w:ind w:left="900"/>
              <w:spacing w:after="0"/>
              <w:rPr>
                <w:sz w:val="20"/>
                <w:szCs w:val="20"/>
                <w:color w:val="auto"/>
              </w:rPr>
            </w:pPr>
            <w:r>
              <w:rPr>
                <w:rFonts w:ascii="Arial" w:cs="Arial" w:eastAsia="Arial" w:hAnsi="Arial"/>
                <w:sz w:val="18"/>
                <w:szCs w:val="18"/>
                <w:color w:val="auto"/>
                <w:w w:val="95"/>
              </w:rPr>
              <w:t>If Net Share Settlement is applicable to any Option exercised or deemed exercised</w:t>
            </w:r>
          </w:p>
        </w:tc>
      </w:tr>
      <w:tr>
        <w:trPr>
          <w:trHeight w:val="212"/>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hereunder, Dealer will deliver to Counterparty, on the relevant Settlement Date for</w:t>
            </w:r>
          </w:p>
        </w:tc>
      </w:tr>
      <w:tr>
        <w:trPr>
          <w:trHeight w:val="220"/>
        </w:trPr>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0"/>
              </w:rPr>
              <w:t>each such Option, a number of Shares (the “</w:t>
            </w:r>
            <w:r>
              <w:rPr>
                <w:rFonts w:ascii="Arial" w:cs="Arial" w:eastAsia="Arial" w:hAnsi="Arial"/>
                <w:sz w:val="18"/>
                <w:szCs w:val="18"/>
                <w:b w:val="1"/>
                <w:bCs w:val="1"/>
                <w:color w:val="auto"/>
                <w:w w:val="90"/>
              </w:rPr>
              <w:t>Net Share Settlement Amount</w:t>
            </w:r>
            <w:r>
              <w:rPr>
                <w:rFonts w:ascii="Arial" w:cs="Arial" w:eastAsia="Arial" w:hAnsi="Arial"/>
                <w:sz w:val="18"/>
                <w:szCs w:val="18"/>
                <w:color w:val="auto"/>
                <w:w w:val="90"/>
              </w:rPr>
              <w:t>”) equal to</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5"/>
              </w:rPr>
              <w:t>the sum, for each Valid Day during the Settlement Averaging Period for each such</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 xml:space="preserve">Option, of (i) (a) the Daily Option Value for such Valid Day,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7"/>
              </w:rPr>
              <w:t xml:space="preserve">Relevant Price on such Valid Day, </w:t>
            </w:r>
            <w:r>
              <w:rPr>
                <w:rFonts w:ascii="Arial" w:cs="Arial" w:eastAsia="Arial" w:hAnsi="Arial"/>
                <w:sz w:val="18"/>
                <w:szCs w:val="18"/>
                <w:i w:val="1"/>
                <w:iCs w:val="1"/>
                <w:color w:val="auto"/>
                <w:w w:val="97"/>
              </w:rPr>
              <w:t>divided by</w:t>
            </w:r>
            <w:r>
              <w:rPr>
                <w:rFonts w:ascii="Arial" w:cs="Arial" w:eastAsia="Arial" w:hAnsi="Arial"/>
                <w:sz w:val="18"/>
                <w:szCs w:val="18"/>
                <w:color w:val="auto"/>
                <w:w w:val="97"/>
              </w:rPr>
              <w:t xml:space="preserve"> (ii) the number of Valid Days in the</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1"/>
              </w:rPr>
              <w:t xml:space="preserve">Settlement Averaging Period;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in no event shall the Net Share Settlement</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4"/>
              </w:rPr>
              <w:t>Amount for any Option exceed a number of Shares equal to the Applicable Limit for</w:t>
            </w:r>
          </w:p>
        </w:tc>
      </w:tr>
      <w:tr>
        <w:trPr>
          <w:trHeight w:val="216"/>
        </w:trPr>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 xml:space="preserve">such Option </w:t>
            </w:r>
            <w:r>
              <w:rPr>
                <w:rFonts w:ascii="Arial" w:cs="Arial" w:eastAsia="Arial" w:hAnsi="Arial"/>
                <w:sz w:val="18"/>
                <w:szCs w:val="18"/>
                <w:i w:val="1"/>
                <w:iCs w:val="1"/>
                <w:color w:val="auto"/>
                <w:w w:val="96"/>
              </w:rPr>
              <w:t>divided by</w:t>
            </w:r>
            <w:r>
              <w:rPr>
                <w:rFonts w:ascii="Arial" w:cs="Arial" w:eastAsia="Arial" w:hAnsi="Arial"/>
                <w:sz w:val="18"/>
                <w:szCs w:val="18"/>
                <w:color w:val="auto"/>
                <w:w w:val="96"/>
              </w:rPr>
              <w:t xml:space="preserve"> the Applicable Limit Price on the Settlement Date for such</w:t>
            </w:r>
          </w:p>
        </w:tc>
      </w:tr>
      <w:tr>
        <w:trPr>
          <w:trHeight w:val="230"/>
        </w:trPr>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Option.</w:t>
            </w:r>
          </w:p>
        </w:tc>
      </w:tr>
      <w:tr>
        <w:trPr>
          <w:trHeight w:val="675"/>
        </w:trPr>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18" w:right="339" w:bottom="1440" w:gutter="0" w:footer="0" w:header="0"/>
        </w:sectPr>
      </w:pPr>
    </w:p>
    <w:bookmarkStart w:id="111" w:name="page112"/>
    <w:bookmarkEnd w:id="111"/>
    <w:p>
      <w:pPr>
        <w:jc w:val="both"/>
        <w:ind w:left="3920"/>
        <w:spacing w:after="0" w:line="263" w:lineRule="auto"/>
        <w:rPr>
          <w:sz w:val="20"/>
          <w:szCs w:val="20"/>
          <w:color w:val="auto"/>
        </w:rPr>
      </w:pPr>
      <w:r>
        <w:rPr>
          <w:rFonts w:ascii="Arial" w:cs="Arial" w:eastAsia="Arial" w:hAnsi="Arial"/>
          <w:sz w:val="18"/>
          <w:szCs w:val="18"/>
          <w:color w:val="auto"/>
        </w:rPr>
        <w:t>Dealer will pay cash in lieu of delivering any fractional Shares to be delivered with respect to any Net Share Settlement Amount valued at the Relevant Price for the last Valid Day of the Settlement Averaging Period.</w:t>
      </w:r>
    </w:p>
    <w:p>
      <w:pPr>
        <w:sectPr>
          <w:pgSz w:w="11900" w:h="16838" w:orient="portrait"/>
          <w:cols w:equalWidth="0" w:num="1">
            <w:col w:w="10200"/>
          </w:cols>
          <w:pgMar w:left="1360" w:top="93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Combination Settlement: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200" w:lineRule="exact"/>
        <w:rPr>
          <w:sz w:val="20"/>
          <w:szCs w:val="20"/>
          <w:color w:val="auto"/>
        </w:rPr>
      </w:pPr>
    </w:p>
    <w:p>
      <w:pPr>
        <w:sectPr>
          <w:pgSz w:w="11900" w:h="16838" w:orient="portrait"/>
          <w:cols w:equalWidth="0" w:num="2">
            <w:col w:w="3200" w:space="720"/>
            <w:col w:w="6280"/>
          </w:cols>
          <w:pgMar w:left="1360" w:top="935" w:right="339" w:bottom="1440" w:gutter="0" w:footer="0" w:header="0"/>
          <w:type w:val="continuous"/>
        </w:sectPr>
      </w:pPr>
    </w:p>
    <w:p>
      <w:pPr>
        <w:spacing w:after="0" w:line="223" w:lineRule="exact"/>
        <w:rPr>
          <w:sz w:val="20"/>
          <w:szCs w:val="20"/>
          <w:color w:val="auto"/>
        </w:rPr>
      </w:pPr>
    </w:p>
    <w:p>
      <w:pPr>
        <w:jc w:val="both"/>
        <w:ind w:left="4220" w:hanging="319"/>
        <w:spacing w:after="0" w:line="271" w:lineRule="auto"/>
        <w:tabs>
          <w:tab w:leader="none" w:pos="4200" w:val="left"/>
        </w:tabs>
        <w:rPr>
          <w:sz w:val="20"/>
          <w:szCs w:val="20"/>
          <w:color w:val="auto"/>
        </w:rPr>
      </w:pPr>
      <w:r>
        <w:rPr>
          <w:rFonts w:ascii="Arial" w:cs="Arial" w:eastAsia="Arial" w:hAnsi="Arial"/>
          <w:sz w:val="17"/>
          <w:szCs w:val="17"/>
          <w:color w:val="auto"/>
        </w:rPr>
        <w:t>(i)</w:t>
        <w:tab/>
        <w:t>cash (the “</w:t>
      </w:r>
      <w:r>
        <w:rPr>
          <w:rFonts w:ascii="Arial" w:cs="Arial" w:eastAsia="Arial" w:hAnsi="Arial"/>
          <w:sz w:val="17"/>
          <w:szCs w:val="17"/>
          <w:b w:val="1"/>
          <w:bCs w:val="1"/>
          <w:color w:val="auto"/>
        </w:rPr>
        <w:t>Combination Settlement Cash Amount</w:t>
      </w:r>
      <w:r>
        <w:rPr>
          <w:rFonts w:ascii="Arial" w:cs="Arial" w:eastAsia="Arial" w:hAnsi="Arial"/>
          <w:sz w:val="17"/>
          <w:szCs w:val="17"/>
          <w:color w:val="auto"/>
        </w:rPr>
        <w:t>”) equal to the sum, for each Valid Day during the Settlement Averaging Period for such Option, of (A) an amount (the “</w:t>
      </w:r>
      <w:r>
        <w:rPr>
          <w:rFonts w:ascii="Arial" w:cs="Arial" w:eastAsia="Arial" w:hAnsi="Arial"/>
          <w:sz w:val="17"/>
          <w:szCs w:val="17"/>
          <w:b w:val="1"/>
          <w:bCs w:val="1"/>
          <w:color w:val="auto"/>
        </w:rPr>
        <w:t>Daily Combination Settlement Cash Amount</w:t>
      </w:r>
      <w:r>
        <w:rPr>
          <w:rFonts w:ascii="Arial" w:cs="Arial" w:eastAsia="Arial" w:hAnsi="Arial"/>
          <w:sz w:val="17"/>
          <w:szCs w:val="17"/>
          <w:color w:val="auto"/>
        </w:rPr>
        <w:t xml:space="preserve">”) equal to the lesser of (1) the product of (x) the Applicable Percentage and (y) the Specified Cash Amount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USD 1,000 and (2) the Daily Option Value,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number of Valid Days in the Settlement Averaging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in clause (A) above results in zero or a negative number for any Valid Day, the Daily Combination Settlement Cash Amount for such Valid Day shall be deemed to be zero; and</w:t>
      </w:r>
    </w:p>
    <w:p>
      <w:pPr>
        <w:spacing w:after="0" w:line="174" w:lineRule="exact"/>
        <w:rPr>
          <w:sz w:val="20"/>
          <w:szCs w:val="20"/>
          <w:color w:val="auto"/>
        </w:rPr>
      </w:pPr>
    </w:p>
    <w:p>
      <w:pPr>
        <w:jc w:val="both"/>
        <w:ind w:left="4220" w:hanging="319"/>
        <w:spacing w:after="0" w:line="286" w:lineRule="auto"/>
        <w:tabs>
          <w:tab w:leader="none" w:pos="4200" w:val="left"/>
        </w:tabs>
        <w:rPr>
          <w:sz w:val="20"/>
          <w:szCs w:val="20"/>
          <w:color w:val="auto"/>
        </w:rPr>
      </w:pPr>
      <w:r>
        <w:rPr>
          <w:rFonts w:ascii="Arial" w:cs="Arial" w:eastAsia="Arial" w:hAnsi="Arial"/>
          <w:sz w:val="16"/>
          <w:szCs w:val="16"/>
          <w:color w:val="auto"/>
        </w:rPr>
        <w:t>(ii)</w:t>
        <w:tab/>
        <w:t>Shares (the “</w:t>
      </w:r>
      <w:r>
        <w:rPr>
          <w:rFonts w:ascii="Arial" w:cs="Arial" w:eastAsia="Arial" w:hAnsi="Arial"/>
          <w:sz w:val="16"/>
          <w:szCs w:val="16"/>
          <w:b w:val="1"/>
          <w:bCs w:val="1"/>
          <w:color w:val="auto"/>
        </w:rPr>
        <w:t>Combination Settlement Share Amount</w:t>
      </w:r>
      <w:r>
        <w:rPr>
          <w:rFonts w:ascii="Arial" w:cs="Arial" w:eastAsia="Arial" w:hAnsi="Arial"/>
          <w:sz w:val="16"/>
          <w:szCs w:val="16"/>
          <w:color w:val="auto"/>
        </w:rPr>
        <w:t>”) equal to the sum, for each Valid Day during the Settlement Averaging Period for such Option, of a number of Shares for such Valid Day (the “</w:t>
      </w:r>
      <w:r>
        <w:rPr>
          <w:rFonts w:ascii="Arial" w:cs="Arial" w:eastAsia="Arial" w:hAnsi="Arial"/>
          <w:sz w:val="16"/>
          <w:szCs w:val="16"/>
          <w:b w:val="1"/>
          <w:bCs w:val="1"/>
          <w:color w:val="auto"/>
        </w:rPr>
        <w:t>Daily Combination Settlement Share</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equal to (A) (1) the Daily Option Value on such Valid Day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minus</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Daily Combination Settlement Cash Amount for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(2) the</w:t>
      </w:r>
    </w:p>
    <w:p>
      <w:pPr>
        <w:sectPr>
          <w:pgSz w:w="11900" w:h="16838" w:orient="portrait"/>
          <w:cols w:equalWidth="0" w:num="1">
            <w:col w:w="10200"/>
          </w:cols>
          <w:pgMar w:left="1360" w:top="935" w:right="339" w:bottom="1440" w:gutter="0" w:footer="0" w:header="0"/>
          <w:type w:val="continuous"/>
        </w:sectPr>
      </w:pPr>
    </w:p>
    <w:p>
      <w:pPr>
        <w:spacing w:after="0" w:line="2" w:lineRule="exact"/>
        <w:rPr>
          <w:sz w:val="20"/>
          <w:szCs w:val="20"/>
          <w:color w:val="auto"/>
        </w:rPr>
      </w:pPr>
    </w:p>
    <w:p>
      <w:pPr>
        <w:jc w:val="both"/>
        <w:ind w:left="4220"/>
        <w:spacing w:after="0" w:line="253" w:lineRule="auto"/>
        <w:rPr>
          <w:sz w:val="20"/>
          <w:szCs w:val="20"/>
          <w:color w:val="auto"/>
        </w:rPr>
      </w:pPr>
      <w:r>
        <w:rPr>
          <w:rFonts w:ascii="Arial" w:cs="Arial" w:eastAsia="Arial" w:hAnsi="Arial"/>
          <w:sz w:val="18"/>
          <w:szCs w:val="18"/>
          <w:color w:val="auto"/>
        </w:rPr>
        <w:t xml:space="preserve">Relevant Price on such Valid Day,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number of Valid Days in the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in sub-clause (A)(1) above results in zero or a negative number for any Valid Day, the Daily Combination Settlement Share Amount for such Valid Day shall be deemed to be zero;</w:t>
      </w:r>
    </w:p>
    <w:p>
      <w:pPr>
        <w:spacing w:after="0" w:line="200" w:lineRule="exact"/>
        <w:rPr>
          <w:sz w:val="20"/>
          <w:szCs w:val="20"/>
          <w:color w:val="auto"/>
        </w:rPr>
      </w:pPr>
    </w:p>
    <w:p>
      <w:pPr>
        <w:spacing w:after="0" w:line="234" w:lineRule="exact"/>
        <w:rPr>
          <w:sz w:val="20"/>
          <w:szCs w:val="20"/>
          <w:color w:val="auto"/>
        </w:rPr>
      </w:pPr>
    </w:p>
    <w:p>
      <w:pPr>
        <w:jc w:val="both"/>
        <w:ind w:left="392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the sum of (x) the Combination Settlement Cash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for any Option and (y) the Combination Settlement Share Amount for such Option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such Option, exceed the Applicable Limit for such Option.</w:t>
      </w:r>
    </w:p>
    <w:p>
      <w:pPr>
        <w:spacing w:after="0" w:line="187" w:lineRule="exact"/>
        <w:rPr>
          <w:sz w:val="20"/>
          <w:szCs w:val="20"/>
          <w:color w:val="auto"/>
        </w:rPr>
      </w:pPr>
    </w:p>
    <w:p>
      <w:pPr>
        <w:jc w:val="both"/>
        <w:ind w:left="3920"/>
        <w:spacing w:after="0" w:line="263" w:lineRule="auto"/>
        <w:rPr>
          <w:sz w:val="20"/>
          <w:szCs w:val="20"/>
          <w:color w:val="auto"/>
        </w:rPr>
      </w:pPr>
      <w:r>
        <w:rPr>
          <w:rFonts w:ascii="Arial" w:cs="Arial" w:eastAsia="Arial" w:hAnsi="Arial"/>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00"/>
          </w:cols>
          <w:pgMar w:left="1360" w:top="935"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3960" w:type="dxa"/>
            <w:vAlign w:val="bottom"/>
          </w:tcPr>
          <w:p>
            <w:pPr>
              <w:ind w:left="1040"/>
              <w:spacing w:after="0"/>
              <w:rPr>
                <w:sz w:val="20"/>
                <w:szCs w:val="20"/>
                <w:color w:val="auto"/>
              </w:rPr>
            </w:pPr>
            <w:r>
              <w:rPr>
                <w:rFonts w:ascii="Arial" w:cs="Arial" w:eastAsia="Arial" w:hAnsi="Arial"/>
                <w:sz w:val="18"/>
                <w:szCs w:val="18"/>
                <w:color w:val="auto"/>
              </w:rPr>
              <w:t>Cash Settlement:</w:t>
            </w:r>
          </w:p>
        </w:tc>
        <w:tc>
          <w:tcPr>
            <w:tcW w:w="7280" w:type="dxa"/>
            <w:vAlign w:val="bottom"/>
          </w:tcPr>
          <w:p>
            <w:pPr>
              <w:ind w:left="1000"/>
              <w:spacing w:after="0"/>
              <w:rPr>
                <w:sz w:val="20"/>
                <w:szCs w:val="20"/>
                <w:color w:val="auto"/>
              </w:rPr>
            </w:pPr>
            <w:r>
              <w:rPr>
                <w:rFonts w:ascii="Arial" w:cs="Arial" w:eastAsia="Arial" w:hAnsi="Arial"/>
                <w:sz w:val="18"/>
                <w:szCs w:val="18"/>
                <w:color w:val="auto"/>
              </w:rPr>
              <w:t>If Cash Settlement is applicable to any Option exercised or deemed exercised</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rPr>
              <w:t>hereunder, in lieu of Section 8.1 of the Equity Definitions, Dealer will pay to</w:t>
            </w:r>
          </w:p>
        </w:tc>
      </w:tr>
      <w:tr>
        <w:trPr>
          <w:trHeight w:val="212"/>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89"/>
              </w:rPr>
              <w:t>Counterparty, on the relevant Settlement Date for each such Option, an amount of cash</w:t>
            </w:r>
          </w:p>
        </w:tc>
      </w:tr>
      <w:tr>
        <w:trPr>
          <w:trHeight w:val="220"/>
        </w:trPr>
        <w:tc>
          <w:tcPr>
            <w:tcW w:w="3960" w:type="dxa"/>
            <w:vAlign w:val="bottom"/>
          </w:tcPr>
          <w:p>
            <w:pPr>
              <w:spacing w:after="0"/>
              <w:rPr>
                <w:sz w:val="19"/>
                <w:szCs w:val="19"/>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6"/>
              </w:rPr>
              <w:t>(the “</w:t>
            </w:r>
            <w:r>
              <w:rPr>
                <w:rFonts w:ascii="Arial" w:cs="Arial" w:eastAsia="Arial" w:hAnsi="Arial"/>
                <w:sz w:val="18"/>
                <w:szCs w:val="18"/>
                <w:b w:val="1"/>
                <w:bCs w:val="1"/>
                <w:color w:val="auto"/>
                <w:w w:val="96"/>
              </w:rPr>
              <w:t>Cash Settlement Amount</w:t>
            </w:r>
            <w:r>
              <w:rPr>
                <w:rFonts w:ascii="Arial" w:cs="Arial" w:eastAsia="Arial" w:hAnsi="Arial"/>
                <w:sz w:val="18"/>
                <w:szCs w:val="18"/>
                <w:color w:val="auto"/>
                <w:w w:val="96"/>
              </w:rPr>
              <w:t>”) equal to the sum, for each Valid Day during the</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5"/>
              </w:rPr>
              <w:t>Settlement Averaging Period for such Option, of (i) the Daily Option Value for such</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9"/>
              </w:rPr>
              <w:t xml:space="preserve">Valid Day, </w:t>
            </w:r>
            <w:r>
              <w:rPr>
                <w:rFonts w:ascii="Arial" w:cs="Arial" w:eastAsia="Arial" w:hAnsi="Arial"/>
                <w:sz w:val="18"/>
                <w:szCs w:val="18"/>
                <w:i w:val="1"/>
                <w:iCs w:val="1"/>
                <w:color w:val="auto"/>
                <w:w w:val="99"/>
              </w:rPr>
              <w:t>divided by</w:t>
            </w:r>
            <w:r>
              <w:rPr>
                <w:rFonts w:ascii="Arial" w:cs="Arial" w:eastAsia="Arial" w:hAnsi="Arial"/>
                <w:sz w:val="18"/>
                <w:szCs w:val="18"/>
                <w:color w:val="auto"/>
                <w:w w:val="99"/>
              </w:rPr>
              <w:t xml:space="preserve"> (ii) the number of Valid Days in the Settlement Averaging</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9"/>
              </w:rPr>
              <w:t xml:space="preserve">Period;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in no event shall the Cash Settlement Amount exceed the</w:t>
            </w:r>
          </w:p>
        </w:tc>
      </w:tr>
      <w:tr>
        <w:trPr>
          <w:trHeight w:val="230"/>
        </w:trPr>
        <w:tc>
          <w:tcPr>
            <w:tcW w:w="3960" w:type="dxa"/>
            <w:vAlign w:val="bottom"/>
          </w:tcPr>
          <w:p>
            <w:pPr>
              <w:spacing w:after="0"/>
              <w:rPr>
                <w:sz w:val="20"/>
                <w:szCs w:val="20"/>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rPr>
              <w:t>Applicable Limit for such Option.</w:t>
            </w:r>
          </w:p>
        </w:tc>
      </w:tr>
      <w:tr>
        <w:trPr>
          <w:trHeight w:val="418"/>
        </w:trPr>
        <w:tc>
          <w:tcPr>
            <w:tcW w:w="3960" w:type="dxa"/>
            <w:vAlign w:val="bottom"/>
          </w:tcPr>
          <w:p>
            <w:pPr>
              <w:ind w:left="1040"/>
              <w:spacing w:after="0"/>
              <w:rPr>
                <w:sz w:val="20"/>
                <w:szCs w:val="20"/>
                <w:color w:val="auto"/>
              </w:rPr>
            </w:pPr>
            <w:r>
              <w:rPr>
                <w:rFonts w:ascii="Arial" w:cs="Arial" w:eastAsia="Arial" w:hAnsi="Arial"/>
                <w:sz w:val="18"/>
                <w:szCs w:val="18"/>
                <w:color w:val="auto"/>
              </w:rPr>
              <w:t>Daily Option Value:</w:t>
            </w:r>
          </w:p>
        </w:tc>
        <w:tc>
          <w:tcPr>
            <w:tcW w:w="7280" w:type="dxa"/>
            <w:vAlign w:val="bottom"/>
          </w:tcPr>
          <w:p>
            <w:pPr>
              <w:ind w:left="1000"/>
              <w:spacing w:after="0"/>
              <w:rPr>
                <w:sz w:val="20"/>
                <w:szCs w:val="20"/>
                <w:color w:val="auto"/>
              </w:rPr>
            </w:pPr>
            <w:r>
              <w:rPr>
                <w:rFonts w:ascii="Arial" w:cs="Arial" w:eastAsia="Arial" w:hAnsi="Arial"/>
                <w:sz w:val="18"/>
                <w:szCs w:val="18"/>
                <w:color w:val="auto"/>
                <w:w w:val="93"/>
              </w:rPr>
              <w:t>For any Valid Day, an amount equal to (i) the Option Entitlement on such Valid Day,</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i w:val="1"/>
                <w:iCs w:val="1"/>
                <w:color w:val="auto"/>
                <w:w w:val="94"/>
              </w:rPr>
              <w:t xml:space="preserve">multiplied by </w:t>
            </w:r>
            <w:r>
              <w:rPr>
                <w:rFonts w:ascii="Arial" w:cs="Arial" w:eastAsia="Arial" w:hAnsi="Arial"/>
                <w:sz w:val="18"/>
                <w:szCs w:val="18"/>
                <w:color w:val="auto"/>
                <w:w w:val="94"/>
              </w:rPr>
              <w:t>(ii) the Relevant Price on such Valid Day</w:t>
            </w:r>
            <w:r>
              <w:rPr>
                <w:rFonts w:ascii="Arial" w:cs="Arial" w:eastAsia="Arial" w:hAnsi="Arial"/>
                <w:sz w:val="18"/>
                <w:szCs w:val="18"/>
                <w:i w:val="1"/>
                <w:iCs w:val="1"/>
                <w:color w:val="auto"/>
                <w:w w:val="94"/>
              </w:rPr>
              <w:t xml:space="preserve"> less </w:t>
            </w:r>
            <w:r>
              <w:rPr>
                <w:rFonts w:ascii="Arial" w:cs="Arial" w:eastAsia="Arial" w:hAnsi="Arial"/>
                <w:sz w:val="18"/>
                <w:szCs w:val="18"/>
                <w:color w:val="auto"/>
                <w:w w:val="94"/>
              </w:rPr>
              <w:t>the Strike Price on such</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5"/>
              </w:rPr>
              <w:t xml:space="preserve">Valid Day;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if the calculation contained in clause (ii) above results in a</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5"/>
              </w:rPr>
              <w:t>negative number, the Daily Option Value for such Valid Day shall be deemed to be</w:t>
            </w:r>
          </w:p>
        </w:tc>
      </w:tr>
      <w:tr>
        <w:trPr>
          <w:trHeight w:val="230"/>
        </w:trPr>
        <w:tc>
          <w:tcPr>
            <w:tcW w:w="3960" w:type="dxa"/>
            <w:vAlign w:val="bottom"/>
          </w:tcPr>
          <w:p>
            <w:pPr>
              <w:spacing w:after="0"/>
              <w:rPr>
                <w:sz w:val="20"/>
                <w:szCs w:val="20"/>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rPr>
              <w:t>zero. In no event will the Daily Option Value be less than zero.</w:t>
            </w:r>
          </w:p>
        </w:tc>
      </w:tr>
      <w:tr>
        <w:trPr>
          <w:trHeight w:val="432"/>
        </w:trPr>
        <w:tc>
          <w:tcPr>
            <w:tcW w:w="3960" w:type="dxa"/>
            <w:vAlign w:val="bottom"/>
          </w:tcPr>
          <w:p>
            <w:pPr>
              <w:ind w:left="1040"/>
              <w:spacing w:after="0"/>
              <w:rPr>
                <w:sz w:val="20"/>
                <w:szCs w:val="20"/>
                <w:color w:val="auto"/>
              </w:rPr>
            </w:pPr>
            <w:r>
              <w:rPr>
                <w:rFonts w:ascii="Arial" w:cs="Arial" w:eastAsia="Arial" w:hAnsi="Arial"/>
                <w:sz w:val="18"/>
                <w:szCs w:val="18"/>
                <w:color w:val="auto"/>
              </w:rPr>
              <w:t>Make-Whole Adjustment:</w:t>
            </w:r>
          </w:p>
        </w:tc>
        <w:tc>
          <w:tcPr>
            <w:tcW w:w="7280" w:type="dxa"/>
            <w:vAlign w:val="bottom"/>
          </w:tcPr>
          <w:p>
            <w:pPr>
              <w:ind w:left="1000"/>
              <w:spacing w:after="0"/>
              <w:rPr>
                <w:sz w:val="20"/>
                <w:szCs w:val="20"/>
                <w:color w:val="auto"/>
              </w:rPr>
            </w:pPr>
            <w:r>
              <w:rPr>
                <w:rFonts w:ascii="Arial" w:cs="Arial" w:eastAsia="Arial" w:hAnsi="Arial"/>
                <w:sz w:val="18"/>
                <w:szCs w:val="18"/>
                <w:color w:val="auto"/>
                <w:w w:val="96"/>
              </w:rPr>
              <w:t>Any adjustment to the Conversion Rate pursuant to Section 5.07 of the Indenture.</w:t>
            </w:r>
          </w:p>
        </w:tc>
      </w:tr>
      <w:tr>
        <w:trPr>
          <w:trHeight w:val="432"/>
        </w:trPr>
        <w:tc>
          <w:tcPr>
            <w:tcW w:w="3960" w:type="dxa"/>
            <w:vAlign w:val="bottom"/>
          </w:tcPr>
          <w:p>
            <w:pPr>
              <w:ind w:left="1040"/>
              <w:spacing w:after="0"/>
              <w:rPr>
                <w:sz w:val="20"/>
                <w:szCs w:val="20"/>
                <w:color w:val="auto"/>
              </w:rPr>
            </w:pPr>
            <w:r>
              <w:rPr>
                <w:rFonts w:ascii="Arial" w:cs="Arial" w:eastAsia="Arial" w:hAnsi="Arial"/>
                <w:sz w:val="18"/>
                <w:szCs w:val="18"/>
                <w:color w:val="auto"/>
              </w:rPr>
              <w:t>Discretionary Adjustment:</w:t>
            </w:r>
          </w:p>
        </w:tc>
        <w:tc>
          <w:tcPr>
            <w:tcW w:w="7280" w:type="dxa"/>
            <w:vAlign w:val="bottom"/>
          </w:tcPr>
          <w:p>
            <w:pPr>
              <w:ind w:left="1000"/>
              <w:spacing w:after="0"/>
              <w:rPr>
                <w:sz w:val="20"/>
                <w:szCs w:val="20"/>
                <w:color w:val="auto"/>
              </w:rPr>
            </w:pPr>
            <w:r>
              <w:rPr>
                <w:rFonts w:ascii="Arial" w:cs="Arial" w:eastAsia="Arial" w:hAnsi="Arial"/>
                <w:sz w:val="18"/>
                <w:szCs w:val="18"/>
                <w:color w:val="auto"/>
                <w:w w:val="96"/>
              </w:rPr>
              <w:t>Any adjustment to the Conversion Rate pursuant to Section 5.06 of the Indenture.</w:t>
            </w:r>
          </w:p>
        </w:tc>
      </w:tr>
      <w:tr>
        <w:trPr>
          <w:trHeight w:val="418"/>
        </w:trPr>
        <w:tc>
          <w:tcPr>
            <w:tcW w:w="3960" w:type="dxa"/>
            <w:vAlign w:val="bottom"/>
          </w:tcPr>
          <w:p>
            <w:pPr>
              <w:ind w:left="1040"/>
              <w:spacing w:after="0"/>
              <w:rPr>
                <w:sz w:val="20"/>
                <w:szCs w:val="20"/>
                <w:color w:val="auto"/>
              </w:rPr>
            </w:pPr>
            <w:r>
              <w:rPr>
                <w:rFonts w:ascii="Arial" w:cs="Arial" w:eastAsia="Arial" w:hAnsi="Arial"/>
                <w:sz w:val="18"/>
                <w:szCs w:val="18"/>
                <w:color w:val="auto"/>
              </w:rPr>
              <w:t>Applicable Limit:</w:t>
            </w:r>
          </w:p>
        </w:tc>
        <w:tc>
          <w:tcPr>
            <w:tcW w:w="7280" w:type="dxa"/>
            <w:vAlign w:val="bottom"/>
          </w:tcPr>
          <w:p>
            <w:pPr>
              <w:ind w:left="1000"/>
              <w:spacing w:after="0"/>
              <w:rPr>
                <w:sz w:val="20"/>
                <w:szCs w:val="20"/>
                <w:color w:val="auto"/>
              </w:rPr>
            </w:pPr>
            <w:r>
              <w:rPr>
                <w:rFonts w:ascii="Arial" w:cs="Arial" w:eastAsia="Arial" w:hAnsi="Arial"/>
                <w:sz w:val="18"/>
                <w:szCs w:val="18"/>
                <w:color w:val="auto"/>
                <w:w w:val="93"/>
              </w:rPr>
              <w:t xml:space="preserve">For any Option, an amount of cash equal to the Applicable Percentage </w:t>
            </w:r>
            <w:r>
              <w:rPr>
                <w:rFonts w:ascii="Arial" w:cs="Arial" w:eastAsia="Arial" w:hAnsi="Arial"/>
                <w:sz w:val="18"/>
                <w:szCs w:val="18"/>
                <w:i w:val="1"/>
                <w:iCs w:val="1"/>
                <w:color w:val="auto"/>
                <w:w w:val="93"/>
              </w:rPr>
              <w:t>multiplied by</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2"/>
              </w:rPr>
              <w:t>the excess of (i) the aggregate of (A) the amount of cash, if any, paid to the Holder of</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5"/>
              </w:rPr>
              <w:t>the related Convertible Note upon conversion of such Convertible Note and (B) the</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1"/>
              </w:rPr>
              <w:t>number of Shares, if any, delivered to the Holder of the related Convertible Note upon</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5"/>
              </w:rPr>
              <w:t xml:space="preserve">conversion of such Convertible Note </w:t>
            </w:r>
            <w:r>
              <w:rPr>
                <w:rFonts w:ascii="Arial" w:cs="Arial" w:eastAsia="Arial" w:hAnsi="Arial"/>
                <w:sz w:val="18"/>
                <w:szCs w:val="18"/>
                <w:i w:val="1"/>
                <w:iCs w:val="1"/>
                <w:color w:val="auto"/>
                <w:w w:val="95"/>
              </w:rPr>
              <w:t>multiplied by</w:t>
            </w:r>
            <w:r>
              <w:rPr>
                <w:rFonts w:ascii="Arial" w:cs="Arial" w:eastAsia="Arial" w:hAnsi="Arial"/>
                <w:sz w:val="18"/>
                <w:szCs w:val="18"/>
                <w:color w:val="auto"/>
                <w:w w:val="95"/>
              </w:rPr>
              <w:t xml:space="preserve"> the Applicable Limit Price on the</w:t>
            </w:r>
          </w:p>
        </w:tc>
      </w:tr>
      <w:tr>
        <w:trPr>
          <w:trHeight w:val="230"/>
        </w:trPr>
        <w:tc>
          <w:tcPr>
            <w:tcW w:w="3960" w:type="dxa"/>
            <w:vAlign w:val="bottom"/>
          </w:tcPr>
          <w:p>
            <w:pPr>
              <w:spacing w:after="0"/>
              <w:rPr>
                <w:sz w:val="20"/>
                <w:szCs w:val="20"/>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rPr>
              <w:t>Settlement Date for such Option, over (ii) USD 1,000.</w:t>
            </w:r>
          </w:p>
        </w:tc>
      </w:tr>
      <w:tr>
        <w:trPr>
          <w:trHeight w:val="418"/>
        </w:trPr>
        <w:tc>
          <w:tcPr>
            <w:tcW w:w="3960" w:type="dxa"/>
            <w:vAlign w:val="bottom"/>
          </w:tcPr>
          <w:p>
            <w:pPr>
              <w:ind w:left="1040"/>
              <w:spacing w:after="0"/>
              <w:rPr>
                <w:sz w:val="20"/>
                <w:szCs w:val="20"/>
                <w:color w:val="auto"/>
              </w:rPr>
            </w:pPr>
            <w:r>
              <w:rPr>
                <w:rFonts w:ascii="Arial" w:cs="Arial" w:eastAsia="Arial" w:hAnsi="Arial"/>
                <w:sz w:val="18"/>
                <w:szCs w:val="18"/>
                <w:color w:val="auto"/>
              </w:rPr>
              <w:t>Applicable Limit Price:</w:t>
            </w:r>
          </w:p>
        </w:tc>
        <w:tc>
          <w:tcPr>
            <w:tcW w:w="7280" w:type="dxa"/>
            <w:vAlign w:val="bottom"/>
          </w:tcPr>
          <w:p>
            <w:pPr>
              <w:ind w:left="1000"/>
              <w:spacing w:after="0"/>
              <w:rPr>
                <w:sz w:val="20"/>
                <w:szCs w:val="20"/>
                <w:color w:val="auto"/>
              </w:rPr>
            </w:pPr>
            <w:r>
              <w:rPr>
                <w:rFonts w:ascii="Arial" w:cs="Arial" w:eastAsia="Arial" w:hAnsi="Arial"/>
                <w:sz w:val="18"/>
                <w:szCs w:val="18"/>
                <w:color w:val="auto"/>
                <w:w w:val="95"/>
              </w:rPr>
              <w:t>On any day, the opening price as displayed under the heading “Op” on Bloomberg</w:t>
            </w:r>
          </w:p>
        </w:tc>
      </w:tr>
      <w:tr>
        <w:trPr>
          <w:trHeight w:val="230"/>
        </w:trPr>
        <w:tc>
          <w:tcPr>
            <w:tcW w:w="3960" w:type="dxa"/>
            <w:vAlign w:val="bottom"/>
          </w:tcPr>
          <w:p>
            <w:pPr>
              <w:spacing w:after="0"/>
              <w:rPr>
                <w:sz w:val="20"/>
                <w:szCs w:val="20"/>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rPr>
              <w:t>page CBRL &lt;equity&gt; (or any successor thereto).</w:t>
            </w:r>
          </w:p>
        </w:tc>
      </w:tr>
      <w:tr>
        <w:trPr>
          <w:trHeight w:val="418"/>
        </w:trPr>
        <w:tc>
          <w:tcPr>
            <w:tcW w:w="3960" w:type="dxa"/>
            <w:vAlign w:val="bottom"/>
          </w:tcPr>
          <w:p>
            <w:pPr>
              <w:ind w:left="1040"/>
              <w:spacing w:after="0"/>
              <w:rPr>
                <w:sz w:val="20"/>
                <w:szCs w:val="20"/>
                <w:color w:val="auto"/>
              </w:rPr>
            </w:pPr>
            <w:r>
              <w:rPr>
                <w:rFonts w:ascii="Arial" w:cs="Arial" w:eastAsia="Arial" w:hAnsi="Arial"/>
                <w:sz w:val="18"/>
                <w:szCs w:val="18"/>
                <w:color w:val="auto"/>
              </w:rPr>
              <w:t>Valid Day:</w:t>
            </w:r>
          </w:p>
        </w:tc>
        <w:tc>
          <w:tcPr>
            <w:tcW w:w="7280" w:type="dxa"/>
            <w:vAlign w:val="bottom"/>
          </w:tcPr>
          <w:p>
            <w:pPr>
              <w:ind w:left="1000"/>
              <w:spacing w:after="0"/>
              <w:rPr>
                <w:sz w:val="20"/>
                <w:szCs w:val="20"/>
                <w:color w:val="auto"/>
              </w:rPr>
            </w:pPr>
            <w:r>
              <w:rPr>
                <w:rFonts w:ascii="Arial" w:cs="Arial" w:eastAsia="Arial" w:hAnsi="Arial"/>
                <w:sz w:val="18"/>
                <w:szCs w:val="18"/>
                <w:color w:val="auto"/>
                <w:w w:val="94"/>
              </w:rPr>
              <w:t>A day on which (i) there is no Market Disruption Event and (ii) trading in the Shares</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89"/>
              </w:rPr>
              <w:t>generally occurs on the Exchange or, if the Shares are not then listed on the Exchange,</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2"/>
              </w:rPr>
              <w:t>on the principal other United States national or regional securities exchange on which</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8"/>
              </w:rPr>
              <w:t>the Shares are then listed or, if the Shares are not then listed on a United States</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4"/>
              </w:rPr>
              <w:t>national or regional securities exchange, on the principal other market on which the</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0"/>
              </w:rPr>
              <w:t>Shares are then listed or admitted for trading. If the Shares are not so listed or admitted</w:t>
            </w:r>
          </w:p>
        </w:tc>
      </w:tr>
      <w:tr>
        <w:trPr>
          <w:trHeight w:val="230"/>
        </w:trPr>
        <w:tc>
          <w:tcPr>
            <w:tcW w:w="3960" w:type="dxa"/>
            <w:vAlign w:val="bottom"/>
          </w:tcPr>
          <w:p>
            <w:pPr>
              <w:spacing w:after="0"/>
              <w:rPr>
                <w:sz w:val="20"/>
                <w:szCs w:val="20"/>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rPr>
              <w:t>for trading, “Valid Day” means a Business Day.</w:t>
            </w:r>
          </w:p>
        </w:tc>
      </w:tr>
      <w:tr>
        <w:trPr>
          <w:trHeight w:val="418"/>
        </w:trPr>
        <w:tc>
          <w:tcPr>
            <w:tcW w:w="3960" w:type="dxa"/>
            <w:vAlign w:val="bottom"/>
          </w:tcPr>
          <w:p>
            <w:pPr>
              <w:ind w:left="1040"/>
              <w:spacing w:after="0"/>
              <w:rPr>
                <w:sz w:val="20"/>
                <w:szCs w:val="20"/>
                <w:color w:val="auto"/>
              </w:rPr>
            </w:pPr>
            <w:r>
              <w:rPr>
                <w:rFonts w:ascii="Arial" w:cs="Arial" w:eastAsia="Arial" w:hAnsi="Arial"/>
                <w:sz w:val="18"/>
                <w:szCs w:val="18"/>
                <w:color w:val="auto"/>
              </w:rPr>
              <w:t>Scheduled Valid Day:</w:t>
            </w:r>
          </w:p>
        </w:tc>
        <w:tc>
          <w:tcPr>
            <w:tcW w:w="7280" w:type="dxa"/>
            <w:vAlign w:val="bottom"/>
          </w:tcPr>
          <w:p>
            <w:pPr>
              <w:ind w:left="1000"/>
              <w:spacing w:after="0"/>
              <w:rPr>
                <w:sz w:val="20"/>
                <w:szCs w:val="20"/>
                <w:color w:val="auto"/>
              </w:rPr>
            </w:pPr>
            <w:r>
              <w:rPr>
                <w:rFonts w:ascii="Arial" w:cs="Arial" w:eastAsia="Arial" w:hAnsi="Arial"/>
                <w:sz w:val="18"/>
                <w:szCs w:val="18"/>
                <w:color w:val="auto"/>
                <w:w w:val="95"/>
              </w:rPr>
              <w:t>A day that is scheduled to be a Valid Day on the principal United States national or</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2"/>
              </w:rPr>
              <w:t>regional securities exchange or market on which the Shares are listed or admitted for</w:t>
            </w:r>
          </w:p>
        </w:tc>
      </w:tr>
      <w:tr>
        <w:trPr>
          <w:trHeight w:val="216"/>
        </w:trPr>
        <w:tc>
          <w:tcPr>
            <w:tcW w:w="3960" w:type="dxa"/>
            <w:vAlign w:val="bottom"/>
          </w:tcPr>
          <w:p>
            <w:pPr>
              <w:spacing w:after="0"/>
              <w:rPr>
                <w:sz w:val="18"/>
                <w:szCs w:val="18"/>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3"/>
              </w:rPr>
              <w:t>trading. If the Shares are not so listed or admitted for trading, “Scheduled Valid Day”</w:t>
            </w:r>
          </w:p>
        </w:tc>
      </w:tr>
      <w:tr>
        <w:trPr>
          <w:trHeight w:val="230"/>
        </w:trPr>
        <w:tc>
          <w:tcPr>
            <w:tcW w:w="3960" w:type="dxa"/>
            <w:vAlign w:val="bottom"/>
          </w:tcPr>
          <w:p>
            <w:pPr>
              <w:spacing w:after="0"/>
              <w:rPr>
                <w:sz w:val="20"/>
                <w:szCs w:val="20"/>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rPr>
              <w:t>means a Business Day.</w:t>
            </w:r>
          </w:p>
        </w:tc>
      </w:tr>
      <w:tr>
        <w:trPr>
          <w:trHeight w:val="418"/>
        </w:trPr>
        <w:tc>
          <w:tcPr>
            <w:tcW w:w="3960" w:type="dxa"/>
            <w:vAlign w:val="bottom"/>
          </w:tcPr>
          <w:p>
            <w:pPr>
              <w:ind w:left="1040"/>
              <w:spacing w:after="0"/>
              <w:rPr>
                <w:sz w:val="20"/>
                <w:szCs w:val="20"/>
                <w:color w:val="auto"/>
              </w:rPr>
            </w:pPr>
            <w:r>
              <w:rPr>
                <w:rFonts w:ascii="Arial" w:cs="Arial" w:eastAsia="Arial" w:hAnsi="Arial"/>
                <w:sz w:val="18"/>
                <w:szCs w:val="18"/>
                <w:color w:val="auto"/>
              </w:rPr>
              <w:t>Business Day:</w:t>
            </w:r>
          </w:p>
        </w:tc>
        <w:tc>
          <w:tcPr>
            <w:tcW w:w="7280" w:type="dxa"/>
            <w:vAlign w:val="bottom"/>
          </w:tcPr>
          <w:p>
            <w:pPr>
              <w:ind w:left="1000"/>
              <w:spacing w:after="0"/>
              <w:rPr>
                <w:sz w:val="20"/>
                <w:szCs w:val="20"/>
                <w:color w:val="auto"/>
              </w:rPr>
            </w:pPr>
            <w:r>
              <w:rPr>
                <w:rFonts w:ascii="Arial" w:cs="Arial" w:eastAsia="Arial" w:hAnsi="Arial"/>
                <w:sz w:val="18"/>
                <w:szCs w:val="18"/>
                <w:color w:val="auto"/>
                <w:w w:val="90"/>
              </w:rPr>
              <w:t>Any day other than a Saturday, a Sunday or a day on which the Federal Reserve Bank</w:t>
            </w:r>
          </w:p>
        </w:tc>
      </w:tr>
      <w:tr>
        <w:trPr>
          <w:trHeight w:val="230"/>
        </w:trPr>
        <w:tc>
          <w:tcPr>
            <w:tcW w:w="3960" w:type="dxa"/>
            <w:vAlign w:val="bottom"/>
          </w:tcPr>
          <w:p>
            <w:pPr>
              <w:spacing w:after="0"/>
              <w:rPr>
                <w:sz w:val="20"/>
                <w:szCs w:val="20"/>
                <w:color w:val="auto"/>
              </w:rPr>
            </w:pPr>
          </w:p>
        </w:tc>
        <w:tc>
          <w:tcPr>
            <w:tcW w:w="7280" w:type="dxa"/>
            <w:vAlign w:val="bottom"/>
          </w:tcPr>
          <w:p>
            <w:pPr>
              <w:ind w:left="1000"/>
              <w:spacing w:after="0"/>
              <w:rPr>
                <w:sz w:val="20"/>
                <w:szCs w:val="20"/>
                <w:color w:val="auto"/>
              </w:rPr>
            </w:pPr>
            <w:r>
              <w:rPr>
                <w:rFonts w:ascii="Arial" w:cs="Arial" w:eastAsia="Arial" w:hAnsi="Arial"/>
                <w:sz w:val="18"/>
                <w:szCs w:val="18"/>
                <w:color w:val="auto"/>
                <w:w w:val="92"/>
              </w:rPr>
              <w:t>of New York is authorized or required by law or executive order to close or be closed.</w:t>
            </w:r>
          </w:p>
        </w:tc>
      </w:tr>
      <w:tr>
        <w:trPr>
          <w:trHeight w:val="675"/>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935"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Relevant Price:</w:t>
            </w: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89"/>
              </w:rPr>
              <w:t>On any Valid Day, the per Share volume-weighted average price as displayed under the</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rPr>
              <w:t>heading “Bloomberg VWAP” on Bloomberg page CBRL &lt;equity&gt; AQR (or its</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5"/>
              </w:rPr>
              <w:t>equivalent successor if such page is not available) in respect of the period from the</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rPr>
              <w:t>scheduled opening time of the Exchange to the Scheduled Closing Time of the</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1"/>
              </w:rPr>
              <w:t>Exchange on such Valid Day (or if such volume-weighted average price is unavailable</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5"/>
              </w:rPr>
              <w:t>at such time or is manifestly incorrect, the market value of one Share on such Valid</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8"/>
              </w:rPr>
              <w:t>Day, as determined by the Calculation Agent in good faith and in a commercially</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4"/>
              </w:rPr>
              <w:t>reasonable manner using, if practicable, a volume-weighted average method).  The</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5"/>
              </w:rPr>
              <w:t>Relevant Price will be determined without regard to after-hours trading or any other</w:t>
            </w:r>
          </w:p>
        </w:tc>
      </w:tr>
      <w:tr>
        <w:trPr>
          <w:trHeight w:val="230"/>
        </w:trPr>
        <w:tc>
          <w:tcPr>
            <w:tcW w:w="3320" w:type="dxa"/>
            <w:vAlign w:val="bottom"/>
          </w:tcPr>
          <w:p>
            <w:pPr>
              <w:spacing w:after="0"/>
              <w:rPr>
                <w:sz w:val="20"/>
                <w:szCs w:val="20"/>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rPr>
              <w:t>trading outside of the regular trading session trading hours.</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Settlement Averaging Period:</w:t>
            </w: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rPr>
              <w:t>For any Option:</w:t>
            </w:r>
          </w:p>
        </w:tc>
      </w:tr>
      <w:tr>
        <w:trPr>
          <w:trHeight w:val="418"/>
        </w:trPr>
        <w:tc>
          <w:tcPr>
            <w:tcW w:w="3320" w:type="dxa"/>
            <w:vAlign w:val="bottom"/>
          </w:tcPr>
          <w:p>
            <w:pPr>
              <w:spacing w:after="0"/>
              <w:rPr>
                <w:sz w:val="24"/>
                <w:szCs w:val="24"/>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(i)</w:t>
            </w:r>
          </w:p>
        </w:tc>
        <w:tc>
          <w:tcPr>
            <w:tcW w:w="6040" w:type="dxa"/>
            <w:vAlign w:val="bottom"/>
          </w:tcPr>
          <w:p>
            <w:pPr>
              <w:ind w:left="60"/>
              <w:spacing w:after="0"/>
              <w:rPr>
                <w:sz w:val="20"/>
                <w:szCs w:val="20"/>
                <w:color w:val="auto"/>
              </w:rPr>
            </w:pPr>
            <w:r>
              <w:rPr>
                <w:rFonts w:ascii="Arial" w:cs="Arial" w:eastAsia="Arial" w:hAnsi="Arial"/>
                <w:sz w:val="18"/>
                <w:szCs w:val="18"/>
                <w:color w:val="auto"/>
                <w:w w:val="99"/>
              </w:rPr>
              <w:t>if the related Conversion Date occurs prior to the 55th Scheduled Valid Day</w:t>
            </w:r>
          </w:p>
        </w:tc>
      </w:tr>
      <w:tr>
        <w:trPr>
          <w:trHeight w:val="216"/>
        </w:trPr>
        <w:tc>
          <w:tcPr>
            <w:tcW w:w="3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0"/>
              </w:rPr>
              <w:t>preceding the Expiration Date, the 25 consecutive Valid Days commencing on, and</w:t>
            </w:r>
          </w:p>
        </w:tc>
      </w:tr>
      <w:tr>
        <w:trPr>
          <w:trHeight w:val="230"/>
        </w:trPr>
        <w:tc>
          <w:tcPr>
            <w:tcW w:w="3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rPr>
              <w:t>including, the third Valid Day following such Conversion Date; or</w:t>
            </w:r>
          </w:p>
        </w:tc>
      </w:tr>
      <w:tr>
        <w:trPr>
          <w:trHeight w:val="458"/>
        </w:trPr>
        <w:tc>
          <w:tcPr>
            <w:tcW w:w="3320" w:type="dxa"/>
            <w:vAlign w:val="bottom"/>
          </w:tcPr>
          <w:p>
            <w:pPr>
              <w:spacing w:after="0"/>
              <w:rPr>
                <w:sz w:val="24"/>
                <w:szCs w:val="24"/>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(ii)</w:t>
            </w:r>
          </w:p>
        </w:tc>
        <w:tc>
          <w:tcPr>
            <w:tcW w:w="6040" w:type="dxa"/>
            <w:vAlign w:val="bottom"/>
          </w:tcPr>
          <w:p>
            <w:pPr>
              <w:ind w:left="60"/>
              <w:spacing w:after="0"/>
              <w:rPr>
                <w:sz w:val="20"/>
                <w:szCs w:val="20"/>
                <w:color w:val="auto"/>
              </w:rPr>
            </w:pPr>
            <w:r>
              <w:rPr>
                <w:rFonts w:ascii="Arial" w:cs="Arial" w:eastAsia="Arial" w:hAnsi="Arial"/>
                <w:sz w:val="18"/>
                <w:szCs w:val="18"/>
                <w:color w:val="auto"/>
                <w:w w:val="95"/>
              </w:rPr>
              <w:t>if the related Conversion Date occurs on or after the 55</w:t>
            </w:r>
            <w:r>
              <w:rPr>
                <w:rFonts w:ascii="Arial" w:cs="Arial" w:eastAsia="Arial" w:hAnsi="Arial"/>
                <w:sz w:val="29"/>
                <w:szCs w:val="29"/>
                <w:color w:val="auto"/>
                <w:w w:val="95"/>
                <w:vertAlign w:val="superscript"/>
              </w:rPr>
              <w:t>th</w:t>
            </w:r>
            <w:r>
              <w:rPr>
                <w:rFonts w:ascii="Arial" w:cs="Arial" w:eastAsia="Arial" w:hAnsi="Arial"/>
                <w:sz w:val="18"/>
                <w:szCs w:val="18"/>
                <w:color w:val="auto"/>
                <w:w w:val="95"/>
              </w:rPr>
              <w:t xml:space="preserve"> Scheduled Valid Day</w:t>
            </w:r>
          </w:p>
        </w:tc>
      </w:tr>
      <w:tr>
        <w:trPr>
          <w:trHeight w:val="220"/>
        </w:trPr>
        <w:tc>
          <w:tcPr>
            <w:tcW w:w="3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0"/>
              </w:rPr>
              <w:t>preceding the Expiration Date, the 25 consecutive Valid Days commencing on, and</w:t>
            </w:r>
          </w:p>
        </w:tc>
      </w:tr>
      <w:tr>
        <w:trPr>
          <w:trHeight w:val="390"/>
        </w:trPr>
        <w:tc>
          <w:tcPr>
            <w:tcW w:w="3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2"/>
              </w:rPr>
              <w:t>including, the 26</w:t>
            </w:r>
            <w:r>
              <w:rPr>
                <w:rFonts w:ascii="Arial" w:cs="Arial" w:eastAsia="Arial" w:hAnsi="Arial"/>
                <w:sz w:val="29"/>
                <w:szCs w:val="29"/>
                <w:color w:val="auto"/>
                <w:w w:val="92"/>
                <w:vertAlign w:val="superscript"/>
              </w:rPr>
              <w:t>st</w:t>
            </w:r>
            <w:r>
              <w:rPr>
                <w:rFonts w:ascii="Arial" w:cs="Arial" w:eastAsia="Arial" w:hAnsi="Arial"/>
                <w:sz w:val="18"/>
                <w:szCs w:val="18"/>
                <w:color w:val="auto"/>
                <w:w w:val="92"/>
              </w:rPr>
              <w:t xml:space="preserve"> Scheduled Valid Day immediately prior to the Expiration Date.</w:t>
            </w:r>
          </w:p>
        </w:tc>
      </w:tr>
      <w:tr>
        <w:trPr>
          <w:trHeight w:val="295"/>
        </w:trPr>
        <w:tc>
          <w:tcPr>
            <w:tcW w:w="3320" w:type="dxa"/>
            <w:vAlign w:val="bottom"/>
          </w:tcPr>
          <w:p>
            <w:pPr>
              <w:spacing w:after="0"/>
              <w:rPr>
                <w:sz w:val="20"/>
                <w:szCs w:val="20"/>
                <w:color w:val="auto"/>
              </w:rPr>
            </w:pPr>
            <w:r>
              <w:rPr>
                <w:rFonts w:ascii="Arial" w:cs="Arial" w:eastAsia="Arial" w:hAnsi="Arial"/>
                <w:sz w:val="18"/>
                <w:szCs w:val="18"/>
                <w:color w:val="auto"/>
              </w:rPr>
              <w:t>Settlement Date:</w:t>
            </w: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2"/>
              </w:rPr>
              <w:t>For any Option, the second Business Day immediately following the final Valid Day of</w:t>
            </w:r>
          </w:p>
        </w:tc>
      </w:tr>
      <w:tr>
        <w:trPr>
          <w:trHeight w:val="230"/>
        </w:trPr>
        <w:tc>
          <w:tcPr>
            <w:tcW w:w="3320" w:type="dxa"/>
            <w:vAlign w:val="bottom"/>
          </w:tcPr>
          <w:p>
            <w:pPr>
              <w:spacing w:after="0"/>
              <w:rPr>
                <w:sz w:val="20"/>
                <w:szCs w:val="20"/>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rPr>
              <w:t>the Settlement Averaging Period for such Option.</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Settlement Currency:</w:t>
            </w: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rPr>
              <w:t>USD</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Other Applicable Provisions:</w:t>
            </w: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5"/>
              </w:rPr>
              <w:t>The provisions of Sections 9.1(c), 9.8, 9.9 and 9.11 of the Equity Definitions will be</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1"/>
              </w:rPr>
              <w:t>applicable, except that all references in such provisions to “Physically-settled” shall be</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2"/>
              </w:rPr>
              <w:t>read as references to “Share Settled”. “Share Settled” in relation to any Option means</w:t>
            </w:r>
          </w:p>
        </w:tc>
      </w:tr>
      <w:tr>
        <w:trPr>
          <w:trHeight w:val="230"/>
        </w:trPr>
        <w:tc>
          <w:tcPr>
            <w:tcW w:w="3320" w:type="dxa"/>
            <w:vAlign w:val="bottom"/>
          </w:tcPr>
          <w:p>
            <w:pPr>
              <w:spacing w:after="0"/>
              <w:rPr>
                <w:sz w:val="20"/>
                <w:szCs w:val="20"/>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7"/>
              </w:rPr>
              <w:t>that Net Share Settlement or Combination Settlement is applicable to that Option.</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Representation and Agreement:</w:t>
            </w: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4"/>
              </w:rPr>
              <w:t>Notwithstanding anything to the contrary in the Equity Definitions (including, but not</w:t>
            </w:r>
          </w:p>
        </w:tc>
      </w:tr>
      <w:tr>
        <w:trPr>
          <w:trHeight w:val="216"/>
        </w:trPr>
        <w:tc>
          <w:tcPr>
            <w:tcW w:w="3320" w:type="dxa"/>
            <w:vAlign w:val="bottom"/>
          </w:tcPr>
          <w:p>
            <w:pPr>
              <w:spacing w:after="0"/>
              <w:rPr>
                <w:sz w:val="18"/>
                <w:szCs w:val="18"/>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1"/>
              </w:rPr>
              <w:t>limited to, Section 9.11 thereof), the parties acknowledge that (i) any Shares delivered</w:t>
            </w:r>
          </w:p>
        </w:tc>
      </w:tr>
      <w:tr>
        <w:trPr>
          <w:trHeight w:val="230"/>
        </w:trPr>
        <w:tc>
          <w:tcPr>
            <w:tcW w:w="3320" w:type="dxa"/>
            <w:vAlign w:val="bottom"/>
          </w:tcPr>
          <w:p>
            <w:pPr>
              <w:spacing w:after="0"/>
              <w:rPr>
                <w:sz w:val="20"/>
                <w:szCs w:val="20"/>
                <w:color w:val="auto"/>
              </w:rPr>
            </w:pPr>
          </w:p>
        </w:tc>
        <w:tc>
          <w:tcPr>
            <w:tcW w:w="7360" w:type="dxa"/>
            <w:vAlign w:val="bottom"/>
            <w:gridSpan w:val="2"/>
          </w:tcPr>
          <w:p>
            <w:pPr>
              <w:ind w:left="1060"/>
              <w:spacing w:after="0"/>
              <w:rPr>
                <w:sz w:val="20"/>
                <w:szCs w:val="20"/>
                <w:color w:val="auto"/>
              </w:rPr>
            </w:pPr>
            <w:r>
              <w:rPr>
                <w:rFonts w:ascii="Arial" w:cs="Arial" w:eastAsia="Arial" w:hAnsi="Arial"/>
                <w:sz w:val="18"/>
                <w:szCs w:val="18"/>
                <w:color w:val="auto"/>
                <w:w w:val="94"/>
              </w:rPr>
              <w:t>to Counterparty shall be, upon delivery, subject to restrictions and limitations arising</w:t>
            </w:r>
          </w:p>
        </w:tc>
      </w:tr>
    </w:tbl>
    <w:p>
      <w:pPr>
        <w:jc w:val="both"/>
        <w:ind w:left="4380"/>
        <w:spacing w:after="0" w:line="271" w:lineRule="auto"/>
        <w:rPr>
          <w:sz w:val="20"/>
          <w:szCs w:val="20"/>
          <w:color w:val="auto"/>
        </w:rPr>
      </w:pPr>
      <w:r>
        <w:rPr>
          <w:rFonts w:ascii="Arial" w:cs="Arial" w:eastAsia="Arial" w:hAnsi="Arial"/>
          <w:sz w:val="17"/>
          <w:szCs w:val="17"/>
          <w:color w:val="auto"/>
        </w:rPr>
        <w:t>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880" w:top="935" w:right="339" w:bottom="1440" w:gutter="0" w:footer="0" w:header="0"/>
        </w:sectPr>
      </w:pPr>
    </w:p>
    <w:bookmarkStart w:id="114" w:name="page115"/>
    <w:bookmarkEnd w:id="114"/>
    <w:p>
      <w:pPr>
        <w:ind w:left="390" w:hanging="390"/>
        <w:spacing w:after="0" w:line="516" w:lineRule="auto"/>
        <w:tabs>
          <w:tab w:leader="none" w:pos="39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Terms applicable to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applicable to the Transaction: 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90"/>
        <w:spacing w:after="0"/>
        <w:rPr>
          <w:sz w:val="20"/>
          <w:szCs w:val="20"/>
          <w:color w:val="auto"/>
        </w:rPr>
      </w:pPr>
      <w:r>
        <w:rPr>
          <w:rFonts w:ascii="Arial" w:cs="Arial" w:eastAsia="Arial" w:hAnsi="Arial"/>
          <w:sz w:val="18"/>
          <w:szCs w:val="18"/>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
        <w:spacing w:after="0" w:line="268" w:lineRule="auto"/>
        <w:rPr>
          <w:sz w:val="20"/>
          <w:szCs w:val="20"/>
          <w:color w:val="auto"/>
        </w:rPr>
      </w:pPr>
      <w:r>
        <w:rPr>
          <w:rFonts w:ascii="Arial" w:cs="Arial" w:eastAsia="Arial" w:hAnsi="Arial"/>
          <w:sz w:val="17"/>
          <w:szCs w:val="17"/>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“Reference Property Unit” or to any “Last Reported Sale Price”, “Daily VWAP,” “Daily Conversion Value”, “Daily Settlement Amount” or “Daily Cash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proviso to the first sentence of Section 5.05(A)(iii) of the Indenture or the proviso to the first sentence of Section 5.05(A)(iv) of the Indenture).</w:t>
      </w:r>
    </w:p>
    <w:p>
      <w:pPr>
        <w:spacing w:after="0" w:line="182" w:lineRule="exact"/>
        <w:rPr>
          <w:sz w:val="20"/>
          <w:szCs w:val="20"/>
          <w:color w:val="auto"/>
        </w:rPr>
      </w:pPr>
    </w:p>
    <w:p>
      <w:pPr>
        <w:jc w:val="both"/>
        <w:ind w:left="5"/>
        <w:spacing w:after="0" w:line="273" w:lineRule="auto"/>
        <w:rPr>
          <w:sz w:val="20"/>
          <w:szCs w:val="20"/>
          <w:color w:val="auto"/>
        </w:rPr>
      </w:pPr>
      <w:r>
        <w:rPr>
          <w:rFonts w:ascii="Arial" w:cs="Arial" w:eastAsia="Arial" w:hAnsi="Arial"/>
          <w:sz w:val="17"/>
          <w:szCs w:val="17"/>
          <w:color w:val="auto"/>
        </w:rPr>
        <w:t>Calculation Agent Adjustment, which means that, notwithstanding Section 11.2(c) of the Equity Definitions, upon any Potential Adjustment Event, the Calculation Agent, acting in good faith and commercially reasonably with reference to the relevant provisions of the Indenture, shall make a corresponding adjustment to any one or more of the Strike Price, Number of Options, Option Entitlement and any other variable relevant to the exercise, settlement or payment for the Transaction.</w:t>
      </w:r>
    </w:p>
    <w:p>
      <w:pPr>
        <w:spacing w:after="0" w:line="178"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Notwithstanding the foregoing and “Consequences of Merger Events / Tender Offers” below:</w:t>
      </w:r>
    </w:p>
    <w:p>
      <w:pPr>
        <w:spacing w:after="0" w:line="170" w:lineRule="exact"/>
        <w:rPr>
          <w:sz w:val="20"/>
          <w:szCs w:val="20"/>
          <w:color w:val="auto"/>
        </w:rPr>
      </w:pPr>
    </w:p>
    <w:p>
      <w:pPr>
        <w:jc w:val="both"/>
        <w:ind w:left="325" w:hanging="325"/>
        <w:spacing w:after="0" w:line="285" w:lineRule="auto"/>
        <w:tabs>
          <w:tab w:leader="none" w:pos="32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if the Calculation Agent, acting in good faith and in a commercially reasonable manner, disagrees with any adjustment to the Convertible Notes pursuant to the terms and provisions of the Indenture that is the basis of any calculation hereunder and that involves an exercise of discretion by Counterparty or its board of directors (including, without limitation, pursuant to Section 5.05(H) of the Indenture, Section 5.05(A)(iii) of the Indenture, Section 5.09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in a commercially reasonable manner with reference to the relevant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then the Calculation Agent shall make a commercially reasonable adjustment, as determined by it, to the terms hereof in order to account for such Potential Adjustment Event;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2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070" w:space="695"/>
            <w:col w:w="6305"/>
          </w:cols>
          <w:pgMar w:left="490" w:top="931" w:right="339" w:bottom="1440" w:gutter="0" w:footer="0" w:header="0"/>
        </w:sectPr>
      </w:pPr>
    </w:p>
    <w:bookmarkStart w:id="115" w:name="page116"/>
    <w:bookmarkEnd w:id="115"/>
    <w:p>
      <w:pPr>
        <w:jc w:val="both"/>
        <w:ind w:left="4140" w:hanging="325"/>
        <w:spacing w:after="0" w:line="274" w:lineRule="auto"/>
        <w:tabs>
          <w:tab w:leader="none" w:pos="41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connection with any Potential Adjustment Event as a result of an event or condition set forth in Section 5.05(A)(ii) of the Indenture or Section 5.05(A)(iii)</w:t>
      </w:r>
    </w:p>
    <w:p>
      <w:pPr>
        <w:jc w:val="both"/>
        <w:ind w:left="4140"/>
        <w:spacing w:after="0" w:line="285" w:lineRule="auto"/>
        <w:rPr>
          <w:rFonts w:ascii="Arial" w:cs="Arial" w:eastAsia="Arial" w:hAnsi="Arial"/>
          <w:sz w:val="17"/>
          <w:szCs w:val="17"/>
          <w:color w:val="auto"/>
        </w:rPr>
      </w:pPr>
      <w:r>
        <w:rPr>
          <w:rFonts w:ascii="Arial" w:cs="Arial" w:eastAsia="Arial" w:hAnsi="Arial"/>
          <w:sz w:val="16"/>
          <w:szCs w:val="16"/>
          <w:color w:val="auto"/>
        </w:rPr>
        <w:t>(1)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have the right to adjust, in good faith and in a commercially reasonable manner, taking into account the terms of the Indenture, any variable relevant to the exercise, settlement or payment for the Transaction as appropriate to reflect the commercially reasonable costs (including, but not limited to, hedging mismatches and market losses) and commercially reasonable expenses incurred by Dealer in connection with its commercially reasonable hedging activities as a result of such event or condition not having been publicly announced prior to the beginning of such period; and</w:t>
      </w:r>
    </w:p>
    <w:p>
      <w:pPr>
        <w:spacing w:after="0" w:line="171" w:lineRule="exact"/>
        <w:rPr>
          <w:rFonts w:ascii="Arial" w:cs="Arial" w:eastAsia="Arial" w:hAnsi="Arial"/>
          <w:sz w:val="17"/>
          <w:szCs w:val="17"/>
          <w:color w:val="auto"/>
        </w:rPr>
      </w:pPr>
    </w:p>
    <w:p>
      <w:pPr>
        <w:jc w:val="both"/>
        <w:ind w:left="4140" w:hanging="325"/>
        <w:spacing w:after="0" w:line="286" w:lineRule="auto"/>
        <w:tabs>
          <w:tab w:leader="none" w:pos="41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Arial" w:cs="Arial" w:eastAsia="Arial" w:hAnsi="Arial"/>
          <w:sz w:val="16"/>
          <w:szCs w:val="16"/>
          <w:b w:val="1"/>
          <w:bCs w:val="1"/>
          <w:color w:val="auto"/>
        </w:rPr>
        <w:t>Potential Adjustment Event Change</w:t>
      </w:r>
      <w:r>
        <w:rPr>
          <w:rFonts w:ascii="Arial" w:cs="Arial" w:eastAsia="Arial" w:hAnsi="Arial"/>
          <w:sz w:val="16"/>
          <w:szCs w:val="16"/>
          <w:color w:val="auto"/>
        </w:rPr>
        <w:t>”) then, in each case, the Calculation Agent shall have the right to adjust, in good faith and in a commercially reasonable manner, taking into account the terms of the Indenture, any variable relevant to the exercise, settlement or payment for the Transaction as appropriate to reflect the commercially reasonable costs (including, but not limited to, hedging mismatches and market losses) and commercially reasonable expenses incurred by Dealer in connection with its commercially reasonable hedging activities as a result of such Potential Adjustment Event Change.</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5"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4500" w:type="dxa"/>
            <w:vAlign w:val="bottom"/>
          </w:tcPr>
          <w:p>
            <w:pPr>
              <w:ind w:left="1040"/>
              <w:spacing w:after="0"/>
              <w:rPr>
                <w:sz w:val="20"/>
                <w:szCs w:val="20"/>
                <w:color w:val="auto"/>
              </w:rPr>
            </w:pPr>
            <w:r>
              <w:rPr>
                <w:rFonts w:ascii="Arial" w:cs="Arial" w:eastAsia="Arial" w:hAnsi="Arial"/>
                <w:sz w:val="18"/>
                <w:szCs w:val="18"/>
                <w:color w:val="auto"/>
              </w:rPr>
              <w:t>Dilution Adjustment Provisions:</w:t>
            </w:r>
          </w:p>
        </w:tc>
        <w:tc>
          <w:tcPr>
            <w:tcW w:w="6740" w:type="dxa"/>
            <w:vAlign w:val="bottom"/>
          </w:tcPr>
          <w:p>
            <w:pPr>
              <w:ind w:left="460"/>
              <w:spacing w:after="0"/>
              <w:rPr>
                <w:sz w:val="20"/>
                <w:szCs w:val="20"/>
                <w:color w:val="auto"/>
              </w:rPr>
            </w:pPr>
            <w:r>
              <w:rPr>
                <w:rFonts w:ascii="Arial" w:cs="Arial" w:eastAsia="Arial" w:hAnsi="Arial"/>
                <w:sz w:val="18"/>
                <w:szCs w:val="18"/>
                <w:color w:val="auto"/>
              </w:rPr>
              <w:t>Sections 5.05(A)(i), (A)(ii), (A)(iii), (A)(iv), (A)(v) and Section 5.05(H) of the</w:t>
            </w:r>
          </w:p>
        </w:tc>
      </w:tr>
      <w:tr>
        <w:trPr>
          <w:trHeight w:val="230"/>
        </w:trPr>
        <w:tc>
          <w:tcPr>
            <w:tcW w:w="450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rPr>
              <w:t>Indenture.</w:t>
            </w:r>
          </w:p>
        </w:tc>
      </w:tr>
      <w:tr>
        <w:trPr>
          <w:trHeight w:val="432"/>
        </w:trPr>
        <w:tc>
          <w:tcPr>
            <w:tcW w:w="4500" w:type="dxa"/>
            <w:vAlign w:val="bottom"/>
          </w:tcPr>
          <w:p>
            <w:pPr>
              <w:ind w:left="340"/>
              <w:spacing w:after="0"/>
              <w:rPr>
                <w:sz w:val="20"/>
                <w:szCs w:val="20"/>
                <w:color w:val="auto"/>
              </w:rPr>
            </w:pPr>
            <w:r>
              <w:rPr>
                <w:rFonts w:ascii="Arial" w:cs="Arial" w:eastAsia="Arial" w:hAnsi="Arial"/>
                <w:sz w:val="18"/>
                <w:szCs w:val="18"/>
                <w:color w:val="auto"/>
              </w:rPr>
              <w:t>Extraordinary Events applicable to the Transaction:</w:t>
            </w:r>
          </w:p>
        </w:tc>
        <w:tc>
          <w:tcPr>
            <w:tcW w:w="6740" w:type="dxa"/>
            <w:vAlign w:val="bottom"/>
          </w:tcPr>
          <w:p>
            <w:pPr>
              <w:spacing w:after="0"/>
              <w:rPr>
                <w:sz w:val="24"/>
                <w:szCs w:val="24"/>
                <w:color w:val="auto"/>
              </w:rPr>
            </w:pPr>
          </w:p>
        </w:tc>
      </w:tr>
      <w:tr>
        <w:trPr>
          <w:trHeight w:val="418"/>
        </w:trPr>
        <w:tc>
          <w:tcPr>
            <w:tcW w:w="4500" w:type="dxa"/>
            <w:vAlign w:val="bottom"/>
          </w:tcPr>
          <w:p>
            <w:pPr>
              <w:ind w:left="1040"/>
              <w:spacing w:after="0"/>
              <w:rPr>
                <w:sz w:val="20"/>
                <w:szCs w:val="20"/>
                <w:color w:val="auto"/>
              </w:rPr>
            </w:pPr>
            <w:r>
              <w:rPr>
                <w:rFonts w:ascii="Arial" w:cs="Arial" w:eastAsia="Arial" w:hAnsi="Arial"/>
                <w:sz w:val="18"/>
                <w:szCs w:val="18"/>
                <w:color w:val="auto"/>
              </w:rPr>
              <w:t>Merger Events:</w:t>
            </w:r>
          </w:p>
        </w:tc>
        <w:tc>
          <w:tcPr>
            <w:tcW w:w="6740" w:type="dxa"/>
            <w:vAlign w:val="bottom"/>
          </w:tcPr>
          <w:p>
            <w:pPr>
              <w:ind w:left="46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notwithstanding Section 12.1(b) of the Equity Definitions, a</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rPr>
              <w:t>“Merger Event” means the occurrence of any event or condition set forth in the</w:t>
            </w:r>
          </w:p>
        </w:tc>
      </w:tr>
      <w:tr>
        <w:trPr>
          <w:trHeight w:val="230"/>
        </w:trPr>
        <w:tc>
          <w:tcPr>
            <w:tcW w:w="450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rPr>
              <w:t>definition of “Common Stock Change Event” in Section 5.09 of the Indenture.</w:t>
            </w:r>
          </w:p>
        </w:tc>
      </w:tr>
      <w:tr>
        <w:trPr>
          <w:trHeight w:val="418"/>
        </w:trPr>
        <w:tc>
          <w:tcPr>
            <w:tcW w:w="4500" w:type="dxa"/>
            <w:vAlign w:val="bottom"/>
          </w:tcPr>
          <w:p>
            <w:pPr>
              <w:ind w:left="1040"/>
              <w:spacing w:after="0"/>
              <w:rPr>
                <w:sz w:val="20"/>
                <w:szCs w:val="20"/>
                <w:color w:val="auto"/>
              </w:rPr>
            </w:pPr>
            <w:r>
              <w:rPr>
                <w:rFonts w:ascii="Arial" w:cs="Arial" w:eastAsia="Arial" w:hAnsi="Arial"/>
                <w:sz w:val="18"/>
                <w:szCs w:val="18"/>
                <w:color w:val="auto"/>
              </w:rPr>
              <w:t>Tender Offers:</w:t>
            </w:r>
          </w:p>
        </w:tc>
        <w:tc>
          <w:tcPr>
            <w:tcW w:w="6740" w:type="dxa"/>
            <w:vAlign w:val="bottom"/>
          </w:tcPr>
          <w:p>
            <w:pPr>
              <w:ind w:left="46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notwithstanding Section 12.1(d) of the Equity Definitions, a</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5"/>
              </w:rPr>
              <w:t>“Tender Offer” means the occurrence of any event or condition set forth in Section</w:t>
            </w:r>
          </w:p>
        </w:tc>
      </w:tr>
      <w:tr>
        <w:trPr>
          <w:trHeight w:val="230"/>
        </w:trPr>
        <w:tc>
          <w:tcPr>
            <w:tcW w:w="450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rPr>
              <w:t>5.09(A)(v) of the Indenture.</w:t>
            </w:r>
          </w:p>
        </w:tc>
      </w:tr>
      <w:tr>
        <w:trPr>
          <w:trHeight w:val="418"/>
        </w:trPr>
        <w:tc>
          <w:tcPr>
            <w:tcW w:w="4500" w:type="dxa"/>
            <w:vAlign w:val="bottom"/>
          </w:tcPr>
          <w:p>
            <w:pPr>
              <w:ind w:left="1040"/>
              <w:spacing w:after="0"/>
              <w:rPr>
                <w:sz w:val="20"/>
                <w:szCs w:val="20"/>
                <w:color w:val="auto"/>
              </w:rPr>
            </w:pPr>
            <w:r>
              <w:rPr>
                <w:rFonts w:ascii="Arial" w:cs="Arial" w:eastAsia="Arial" w:hAnsi="Arial"/>
                <w:sz w:val="18"/>
                <w:szCs w:val="18"/>
                <w:color w:val="auto"/>
              </w:rPr>
              <w:t>Consequences of Merger Events /</w:t>
            </w:r>
          </w:p>
        </w:tc>
        <w:tc>
          <w:tcPr>
            <w:tcW w:w="6740" w:type="dxa"/>
            <w:vAlign w:val="bottom"/>
          </w:tcPr>
          <w:p>
            <w:pPr>
              <w:spacing w:after="0"/>
              <w:rPr>
                <w:sz w:val="24"/>
                <w:szCs w:val="24"/>
                <w:color w:val="auto"/>
              </w:rPr>
            </w:pPr>
          </w:p>
        </w:tc>
      </w:tr>
      <w:tr>
        <w:trPr>
          <w:trHeight w:val="216"/>
        </w:trPr>
        <w:tc>
          <w:tcPr>
            <w:tcW w:w="4500" w:type="dxa"/>
            <w:vAlign w:val="bottom"/>
          </w:tcPr>
          <w:p>
            <w:pPr>
              <w:ind w:left="1040"/>
              <w:spacing w:after="0"/>
              <w:rPr>
                <w:sz w:val="20"/>
                <w:szCs w:val="20"/>
                <w:color w:val="auto"/>
              </w:rPr>
            </w:pPr>
            <w:r>
              <w:rPr>
                <w:rFonts w:ascii="Arial" w:cs="Arial" w:eastAsia="Arial" w:hAnsi="Arial"/>
                <w:sz w:val="18"/>
                <w:szCs w:val="18"/>
                <w:color w:val="auto"/>
              </w:rPr>
              <w:t>Tender Offers:</w:t>
            </w:r>
          </w:p>
        </w:tc>
        <w:tc>
          <w:tcPr>
            <w:tcW w:w="6740" w:type="dxa"/>
            <w:vAlign w:val="bottom"/>
          </w:tcPr>
          <w:p>
            <w:pPr>
              <w:ind w:left="460"/>
              <w:spacing w:after="0"/>
              <w:rPr>
                <w:sz w:val="20"/>
                <w:szCs w:val="20"/>
                <w:color w:val="auto"/>
              </w:rPr>
            </w:pPr>
            <w:r>
              <w:rPr>
                <w:rFonts w:ascii="Arial" w:cs="Arial" w:eastAsia="Arial" w:hAnsi="Arial"/>
                <w:sz w:val="18"/>
                <w:szCs w:val="18"/>
                <w:color w:val="auto"/>
                <w:w w:val="96"/>
              </w:rPr>
              <w:t>Notwithstanding Section 12.2 and Section 12.3 of the Equity Definitions, upon the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3"/>
              </w:rPr>
              <w:t>occurrence of a Merger Event or a Tender Offer, the Calculation Agent shall make a</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0"/>
              </w:rPr>
              <w:t>corresponding adjustment in respect of any adjustment under the Indenture to any one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7"/>
              </w:rPr>
              <w:t>or more of the nature of the Shares (in the case of a Merger Event), Strike Price,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0"/>
              </w:rPr>
              <w:t>Number of Options, Option Entitlement and any other variable relevant to the exercise,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6"/>
              </w:rPr>
              <w:t>settlement or payment for the Transaction, subject to the second paragraph under</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8"/>
              </w:rPr>
              <w:t xml:space="preserve">“Method of Adjustment”;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xml:space="preserve">, </w:t>
            </w:r>
            <w:r>
              <w:rPr>
                <w:rFonts w:ascii="Arial" w:cs="Arial" w:eastAsia="Arial" w:hAnsi="Arial"/>
                <w:sz w:val="18"/>
                <w:szCs w:val="18"/>
                <w:i w:val="1"/>
                <w:iCs w:val="1"/>
                <w:color w:val="auto"/>
                <w:w w:val="98"/>
              </w:rPr>
              <w:t>however</w:t>
            </w:r>
            <w:r>
              <w:rPr>
                <w:rFonts w:ascii="Arial" w:cs="Arial" w:eastAsia="Arial" w:hAnsi="Arial"/>
                <w:sz w:val="18"/>
                <w:szCs w:val="18"/>
                <w:color w:val="auto"/>
                <w:w w:val="98"/>
              </w:rPr>
              <w:t>, that such adjustment shall be made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5"/>
              </w:rPr>
              <w:t>without regard to any adjustment to the Conversion Rate pursuant to any Excluded</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4"/>
              </w:rPr>
              <w:t xml:space="preserve">Provision; </w:t>
            </w:r>
            <w:r>
              <w:rPr>
                <w:rFonts w:ascii="Arial" w:cs="Arial" w:eastAsia="Arial" w:hAnsi="Arial"/>
                <w:sz w:val="18"/>
                <w:szCs w:val="18"/>
                <w:i w:val="1"/>
                <w:iCs w:val="1"/>
                <w:color w:val="auto"/>
                <w:w w:val="94"/>
              </w:rPr>
              <w:t>provided further</w:t>
            </w:r>
            <w:r>
              <w:rPr>
                <w:rFonts w:ascii="Arial" w:cs="Arial" w:eastAsia="Arial" w:hAnsi="Arial"/>
                <w:sz w:val="18"/>
                <w:szCs w:val="18"/>
                <w:color w:val="auto"/>
                <w:w w:val="94"/>
              </w:rPr>
              <w:t xml:space="preserve"> that if, with respect to a Merger Event or a Tender Offer,</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4"/>
              </w:rPr>
              <w:t>(i) the consideration for the Shares includes (or, at the option of a holder of Shares,</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1"/>
              </w:rPr>
              <w:t>may include) shares of an entity or person that is not a corporation or is not organized</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4"/>
              </w:rPr>
              <w:t>under the laws of the United States, any State thereof or the District of Columbia or</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3"/>
              </w:rPr>
              <w:t>(ii) the Counterparty to the Transaction following such Merger Event or Tender Offer</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6"/>
              </w:rPr>
              <w:t>will not be a corporation organized under the laws of the United States, any State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6"/>
              </w:rPr>
              <w:t>thereof or the District of Columbia, then, in either case, Cancellation and Payment</w:t>
            </w:r>
          </w:p>
        </w:tc>
      </w:tr>
      <w:tr>
        <w:trPr>
          <w:trHeight w:val="230"/>
        </w:trPr>
        <w:tc>
          <w:tcPr>
            <w:tcW w:w="450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rPr>
              <w:t>(Calculation Agent Determination) may apply at Dealer’s sole election.</w:t>
            </w:r>
          </w:p>
        </w:tc>
      </w:tr>
      <w:tr>
        <w:trPr>
          <w:trHeight w:val="418"/>
        </w:trPr>
        <w:tc>
          <w:tcPr>
            <w:tcW w:w="4500" w:type="dxa"/>
            <w:vAlign w:val="bottom"/>
          </w:tcPr>
          <w:p>
            <w:pPr>
              <w:ind w:left="1040"/>
              <w:spacing w:after="0"/>
              <w:rPr>
                <w:sz w:val="20"/>
                <w:szCs w:val="20"/>
                <w:color w:val="auto"/>
              </w:rPr>
            </w:pPr>
            <w:r>
              <w:rPr>
                <w:rFonts w:ascii="Arial" w:cs="Arial" w:eastAsia="Arial" w:hAnsi="Arial"/>
                <w:sz w:val="18"/>
                <w:szCs w:val="18"/>
                <w:color w:val="auto"/>
              </w:rPr>
              <w:t>Nationalization, Insolvency or Delisting:</w:t>
            </w:r>
          </w:p>
        </w:tc>
        <w:tc>
          <w:tcPr>
            <w:tcW w:w="6740" w:type="dxa"/>
            <w:vAlign w:val="bottom"/>
          </w:tcPr>
          <w:p>
            <w:pPr>
              <w:ind w:left="460"/>
              <w:spacing w:after="0"/>
              <w:rPr>
                <w:sz w:val="20"/>
                <w:szCs w:val="20"/>
                <w:color w:val="auto"/>
              </w:rPr>
            </w:pPr>
            <w:r>
              <w:rPr>
                <w:rFonts w:ascii="Arial" w:cs="Arial" w:eastAsia="Arial" w:hAnsi="Arial"/>
                <w:sz w:val="18"/>
                <w:szCs w:val="18"/>
                <w:color w:val="auto"/>
                <w:w w:val="99"/>
              </w:rPr>
              <w:t xml:space="preserve">Cancellation and Payment (Calculation Agent Determination);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in</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6"/>
              </w:rPr>
              <w:t>addition to the provisions of Section 12.6(a)(iii) of the Equity Definitions, it will also</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89"/>
              </w:rPr>
              <w:t>constitute a Delisting if the Exchange is located in the United States and the Shares are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rPr>
              <w:t>not immediately re-listed, re-traded or re-quoted on any of the New York Stock</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3"/>
              </w:rPr>
              <w:t>Exchange, The Nasdaq Global Select Market or The Nasdaq Global Market (or their</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1"/>
              </w:rPr>
              <w:t>respective successors); if the Shares are immediately re-listed, re-traded or re-quoted</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4"/>
              </w:rPr>
              <w:t>on any of the New York Stock Exchange, The Nasdaq Global Select Market or The</w:t>
            </w:r>
          </w:p>
        </w:tc>
      </w:tr>
      <w:tr>
        <w:trPr>
          <w:trHeight w:val="216"/>
        </w:trPr>
        <w:tc>
          <w:tcPr>
            <w:tcW w:w="450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w w:val="94"/>
              </w:rPr>
              <w:t>Nasdaq Global Market (or their respective successors), such exchange or quotation</w:t>
            </w:r>
          </w:p>
        </w:tc>
      </w:tr>
      <w:tr>
        <w:trPr>
          <w:trHeight w:val="230"/>
        </w:trPr>
        <w:tc>
          <w:tcPr>
            <w:tcW w:w="450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Arial" w:cs="Arial" w:eastAsia="Arial" w:hAnsi="Arial"/>
                <w:sz w:val="18"/>
                <w:szCs w:val="18"/>
                <w:color w:val="auto"/>
              </w:rPr>
              <w:t>system shall thereafter be deemed to be the Exchange.</w:t>
            </w:r>
          </w:p>
        </w:tc>
      </w:tr>
      <w:tr>
        <w:trPr>
          <w:trHeight w:val="675"/>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935"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560"/>
              <w:spacing w:after="0"/>
              <w:rPr>
                <w:sz w:val="20"/>
                <w:szCs w:val="20"/>
                <w:color w:val="auto"/>
              </w:rPr>
            </w:pPr>
            <w:r>
              <w:rPr>
                <w:rFonts w:ascii="Arial" w:cs="Arial" w:eastAsia="Arial" w:hAnsi="Arial"/>
                <w:sz w:val="18"/>
                <w:szCs w:val="18"/>
                <w:color w:val="auto"/>
              </w:rPr>
              <w:t>Additional Disruption Events:</w:t>
            </w:r>
          </w:p>
        </w:tc>
        <w:tc>
          <w:tcPr>
            <w:tcW w:w="136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418"/>
        </w:trPr>
        <w:tc>
          <w:tcPr>
            <w:tcW w:w="3840" w:type="dxa"/>
            <w:vAlign w:val="bottom"/>
          </w:tcPr>
          <w:p>
            <w:pPr>
              <w:ind w:left="720"/>
              <w:spacing w:after="0"/>
              <w:rPr>
                <w:sz w:val="20"/>
                <w:szCs w:val="20"/>
                <w:color w:val="auto"/>
              </w:rPr>
            </w:pPr>
            <w:r>
              <w:rPr>
                <w:rFonts w:ascii="Arial" w:cs="Arial" w:eastAsia="Arial" w:hAnsi="Arial"/>
                <w:sz w:val="18"/>
                <w:szCs w:val="18"/>
                <w:color w:val="auto"/>
              </w:rPr>
              <w:t>Change in Law:</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w:t>
            </w: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w w:val="95"/>
              </w:rPr>
              <w:t>amended by (i) replacing the phrase “the interpretation” in the third line thereof with</w:t>
            </w: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w w:val="97"/>
              </w:rPr>
              <w:t>the phrase “, or public announcement of, the formal or informal interpretation”, (ii)</w:t>
            </w: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w w:val="97"/>
              </w:rPr>
              <w:t>replacing the word “Shares” where it appears in clause (X) thereof with the words</w:t>
            </w: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“Hedge Position” and (iii) replacing the parenthetical beginning after the word</w:t>
            </w: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w w:val="98"/>
              </w:rPr>
              <w:t>“regulation” in the second line thereof the words “(including, for the avoidance of</w:t>
            </w: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doubt and without limitation, (x) any tax law or (y) adoption, effectiveness or</w:t>
            </w:r>
          </w:p>
        </w:tc>
      </w:tr>
      <w:tr>
        <w:trPr>
          <w:trHeight w:val="230"/>
        </w:trPr>
        <w:tc>
          <w:tcPr>
            <w:tcW w:w="3840" w:type="dxa"/>
            <w:vAlign w:val="bottom"/>
          </w:tcPr>
          <w:p>
            <w:pPr>
              <w:spacing w:after="0"/>
              <w:rPr>
                <w:sz w:val="20"/>
                <w:szCs w:val="20"/>
                <w:color w:val="auto"/>
              </w:rPr>
            </w:pP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promulgation of new regulations authorized or mandated by existing statute)”.</w:t>
            </w:r>
          </w:p>
        </w:tc>
      </w:tr>
      <w:tr>
        <w:trPr>
          <w:trHeight w:val="432"/>
        </w:trPr>
        <w:tc>
          <w:tcPr>
            <w:tcW w:w="3840" w:type="dxa"/>
            <w:vAlign w:val="bottom"/>
          </w:tcPr>
          <w:p>
            <w:pPr>
              <w:ind w:left="720"/>
              <w:spacing w:after="0"/>
              <w:rPr>
                <w:sz w:val="20"/>
                <w:szCs w:val="20"/>
                <w:color w:val="auto"/>
              </w:rPr>
            </w:pPr>
            <w:r>
              <w:rPr>
                <w:rFonts w:ascii="Arial" w:cs="Arial" w:eastAsia="Arial" w:hAnsi="Arial"/>
                <w:sz w:val="18"/>
                <w:szCs w:val="18"/>
                <w:color w:val="auto"/>
              </w:rPr>
              <w:t>Failure to Deliver:</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Applicable</w:t>
            </w:r>
          </w:p>
        </w:tc>
      </w:tr>
      <w:tr>
        <w:trPr>
          <w:trHeight w:val="432"/>
        </w:trPr>
        <w:tc>
          <w:tcPr>
            <w:tcW w:w="3840" w:type="dxa"/>
            <w:vAlign w:val="bottom"/>
          </w:tcPr>
          <w:p>
            <w:pPr>
              <w:ind w:left="720"/>
              <w:spacing w:after="0"/>
              <w:rPr>
                <w:sz w:val="20"/>
                <w:szCs w:val="20"/>
                <w:color w:val="auto"/>
              </w:rPr>
            </w:pPr>
            <w:r>
              <w:rPr>
                <w:rFonts w:ascii="Arial" w:cs="Arial" w:eastAsia="Arial" w:hAnsi="Arial"/>
                <w:sz w:val="18"/>
                <w:szCs w:val="18"/>
                <w:color w:val="auto"/>
              </w:rPr>
              <w:t>Hedging Disruption:</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418"/>
        </w:trPr>
        <w:tc>
          <w:tcPr>
            <w:tcW w:w="3840" w:type="dxa"/>
            <w:vAlign w:val="bottom"/>
          </w:tcPr>
          <w:p>
            <w:pPr>
              <w:spacing w:after="0"/>
              <w:rPr>
                <w:sz w:val="24"/>
                <w:szCs w:val="24"/>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(i)</w:t>
            </w:r>
          </w:p>
        </w:tc>
        <w:tc>
          <w:tcPr>
            <w:tcW w:w="6040" w:type="dxa"/>
            <w:vAlign w:val="bottom"/>
          </w:tcPr>
          <w:p>
            <w:pPr>
              <w:ind w:left="60"/>
              <w:spacing w:after="0"/>
              <w:rPr>
                <w:sz w:val="20"/>
                <w:szCs w:val="20"/>
                <w:color w:val="auto"/>
              </w:rPr>
            </w:pPr>
            <w:r>
              <w:rPr>
                <w:rFonts w:ascii="Arial" w:cs="Arial" w:eastAsia="Arial" w:hAnsi="Arial"/>
                <w:sz w:val="18"/>
                <w:szCs w:val="18"/>
                <w:color w:val="auto"/>
                <w:w w:val="91"/>
              </w:rPr>
              <w:t>Section 12.9(a)(v) of the Equity Definitions is hereby amended by (a) inserting the</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3"/>
              </w:rPr>
              <w:t>following words at the end of clause (A) thereof: “in the manner contemplated by</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2"/>
              </w:rPr>
              <w:t>the Hedging Party on the Trade Date” and (b) inserting the following two phrases</w:t>
            </w:r>
          </w:p>
        </w:tc>
      </w:tr>
      <w:tr>
        <w:trPr>
          <w:trHeight w:val="230"/>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rPr>
              <w:t>at the end of such Section:</w:t>
            </w:r>
          </w:p>
        </w:tc>
      </w:tr>
      <w:tr>
        <w:trPr>
          <w:trHeight w:val="418"/>
        </w:trPr>
        <w:tc>
          <w:tcPr>
            <w:tcW w:w="3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rPr>
              <w:t>“For the avoidance of doubt, the term “equity price risk” shall be deemed to</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8"/>
              </w:rPr>
              <w:t>include, but shall not be limited to, stock price and volatility risk. And, for the</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2"/>
              </w:rPr>
              <w:t>further avoidance of doubt, any such transactions or assets referred to in phrases</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5"/>
              </w:rPr>
              <w:t>(A) or (B) above must be available on commercially reasonable pricing terms.”;</w:t>
            </w:r>
          </w:p>
        </w:tc>
      </w:tr>
      <w:tr>
        <w:trPr>
          <w:trHeight w:val="230"/>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rPr>
              <w:t>and</w:t>
            </w:r>
          </w:p>
        </w:tc>
      </w:tr>
      <w:tr>
        <w:trPr>
          <w:trHeight w:val="418"/>
        </w:trPr>
        <w:tc>
          <w:tcPr>
            <w:tcW w:w="3840" w:type="dxa"/>
            <w:vAlign w:val="bottom"/>
          </w:tcPr>
          <w:p>
            <w:pPr>
              <w:spacing w:after="0"/>
              <w:rPr>
                <w:sz w:val="24"/>
                <w:szCs w:val="24"/>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(ii)</w:t>
            </w:r>
          </w:p>
        </w:tc>
        <w:tc>
          <w:tcPr>
            <w:tcW w:w="6040" w:type="dxa"/>
            <w:vAlign w:val="bottom"/>
          </w:tcPr>
          <w:p>
            <w:pPr>
              <w:ind w:left="60"/>
              <w:spacing w:after="0"/>
              <w:rPr>
                <w:sz w:val="20"/>
                <w:szCs w:val="20"/>
                <w:color w:val="auto"/>
              </w:rPr>
            </w:pPr>
            <w:r>
              <w:rPr>
                <w:rFonts w:ascii="Arial" w:cs="Arial" w:eastAsia="Arial" w:hAnsi="Arial"/>
                <w:sz w:val="18"/>
                <w:szCs w:val="18"/>
                <w:color w:val="auto"/>
                <w:w w:val="92"/>
              </w:rPr>
              <w:t>Section 12.9(b)(iii) of the Equity Definitions is hereby amended by inserting in the</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4"/>
              </w:rPr>
              <w:t>third line thereof, after the words “to terminate the Transaction”, the words “or, if</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6"/>
              </w:rPr>
              <w:t>a  portion  of  the  Transaction  is  affected  by  such  Hedging  Disruption  (as</w:t>
            </w:r>
          </w:p>
        </w:tc>
      </w:tr>
      <w:tr>
        <w:trPr>
          <w:trHeight w:val="216"/>
        </w:trPr>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w w:val="94"/>
              </w:rPr>
              <w:t>commercially reasonably determined by the Hedging Party), such portion of the</w:t>
            </w:r>
          </w:p>
        </w:tc>
      </w:tr>
      <w:tr>
        <w:trPr>
          <w:trHeight w:val="230"/>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rPr>
              <w:t>Transaction affected by such Hedging Disruption”.</w:t>
            </w:r>
          </w:p>
        </w:tc>
      </w:tr>
      <w:tr>
        <w:trPr>
          <w:trHeight w:val="432"/>
        </w:trPr>
        <w:tc>
          <w:tcPr>
            <w:tcW w:w="3840" w:type="dxa"/>
            <w:vAlign w:val="bottom"/>
          </w:tcPr>
          <w:p>
            <w:pPr>
              <w:ind w:left="560"/>
              <w:spacing w:after="0"/>
              <w:rPr>
                <w:sz w:val="20"/>
                <w:szCs w:val="20"/>
                <w:color w:val="auto"/>
              </w:rPr>
            </w:pPr>
            <w:r>
              <w:rPr>
                <w:rFonts w:ascii="Arial" w:cs="Arial" w:eastAsia="Arial" w:hAnsi="Arial"/>
                <w:sz w:val="18"/>
                <w:szCs w:val="18"/>
                <w:color w:val="auto"/>
              </w:rPr>
              <w:t>Increased Cost of Hedging:</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Not Applicable</w:t>
            </w:r>
          </w:p>
        </w:tc>
      </w:tr>
      <w:tr>
        <w:trPr>
          <w:trHeight w:val="432"/>
        </w:trPr>
        <w:tc>
          <w:tcPr>
            <w:tcW w:w="3840" w:type="dxa"/>
            <w:vAlign w:val="bottom"/>
          </w:tcPr>
          <w:p>
            <w:pPr>
              <w:ind w:left="560"/>
              <w:spacing w:after="0"/>
              <w:rPr>
                <w:sz w:val="20"/>
                <w:szCs w:val="20"/>
                <w:color w:val="auto"/>
              </w:rPr>
            </w:pPr>
            <w:r>
              <w:rPr>
                <w:rFonts w:ascii="Arial" w:cs="Arial" w:eastAsia="Arial" w:hAnsi="Arial"/>
                <w:sz w:val="18"/>
                <w:szCs w:val="18"/>
                <w:color w:val="auto"/>
              </w:rPr>
              <w:t>Hedging Party:</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For all applicable Additional Disruption Events, Dealer.</w:t>
            </w:r>
          </w:p>
        </w:tc>
      </w:tr>
      <w:tr>
        <w:trPr>
          <w:trHeight w:val="432"/>
        </w:trPr>
        <w:tc>
          <w:tcPr>
            <w:tcW w:w="3840" w:type="dxa"/>
            <w:vAlign w:val="bottom"/>
          </w:tcPr>
          <w:p>
            <w:pPr>
              <w:ind w:left="180"/>
              <w:spacing w:after="0"/>
              <w:rPr>
                <w:sz w:val="20"/>
                <w:szCs w:val="20"/>
                <w:color w:val="auto"/>
              </w:rPr>
            </w:pPr>
            <w:r>
              <w:rPr>
                <w:rFonts w:ascii="Arial" w:cs="Arial" w:eastAsia="Arial" w:hAnsi="Arial"/>
                <w:sz w:val="18"/>
                <w:szCs w:val="18"/>
                <w:color w:val="auto"/>
              </w:rPr>
              <w:t>Determining Party:</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For all applicable Extraordinary Events, Dealer.</w:t>
            </w:r>
          </w:p>
        </w:tc>
      </w:tr>
      <w:tr>
        <w:trPr>
          <w:trHeight w:val="432"/>
        </w:trPr>
        <w:tc>
          <w:tcPr>
            <w:tcW w:w="3840" w:type="dxa"/>
            <w:vAlign w:val="bottom"/>
          </w:tcPr>
          <w:p>
            <w:pPr>
              <w:ind w:left="180"/>
              <w:spacing w:after="0"/>
              <w:rPr>
                <w:sz w:val="20"/>
                <w:szCs w:val="20"/>
                <w:color w:val="auto"/>
              </w:rPr>
            </w:pPr>
            <w:r>
              <w:rPr>
                <w:rFonts w:ascii="Arial" w:cs="Arial" w:eastAsia="Arial" w:hAnsi="Arial"/>
                <w:sz w:val="18"/>
                <w:szCs w:val="18"/>
                <w:color w:val="auto"/>
              </w:rPr>
              <w:t>Non-Reliance:</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Applicable</w:t>
            </w:r>
          </w:p>
        </w:tc>
      </w:tr>
      <w:tr>
        <w:trPr>
          <w:trHeight w:val="418"/>
        </w:trPr>
        <w:tc>
          <w:tcPr>
            <w:tcW w:w="3840" w:type="dxa"/>
            <w:vAlign w:val="bottom"/>
          </w:tcPr>
          <w:p>
            <w:pPr>
              <w:ind w:left="180"/>
              <w:spacing w:after="0"/>
              <w:rPr>
                <w:sz w:val="20"/>
                <w:szCs w:val="20"/>
                <w:color w:val="auto"/>
              </w:rPr>
            </w:pPr>
            <w:r>
              <w:rPr>
                <w:rFonts w:ascii="Arial" w:cs="Arial" w:eastAsia="Arial" w:hAnsi="Arial"/>
                <w:sz w:val="18"/>
                <w:szCs w:val="18"/>
                <w:color w:val="auto"/>
              </w:rPr>
              <w:t>Agreements and Acknowledgments</w:t>
            </w:r>
          </w:p>
        </w:tc>
        <w:tc>
          <w:tcPr>
            <w:tcW w:w="136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Regarding Hedging Activities:</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Applicable</w:t>
            </w:r>
          </w:p>
        </w:tc>
      </w:tr>
      <w:tr>
        <w:trPr>
          <w:trHeight w:val="432"/>
        </w:trPr>
        <w:tc>
          <w:tcPr>
            <w:tcW w:w="3840" w:type="dxa"/>
            <w:vAlign w:val="bottom"/>
          </w:tcPr>
          <w:p>
            <w:pPr>
              <w:ind w:left="180"/>
              <w:spacing w:after="0"/>
              <w:rPr>
                <w:sz w:val="20"/>
                <w:szCs w:val="20"/>
                <w:color w:val="auto"/>
              </w:rPr>
            </w:pPr>
            <w:r>
              <w:rPr>
                <w:rFonts w:ascii="Arial" w:cs="Arial" w:eastAsia="Arial" w:hAnsi="Arial"/>
                <w:sz w:val="18"/>
                <w:szCs w:val="18"/>
                <w:color w:val="auto"/>
              </w:rPr>
              <w:t>Additional Acknowledgments:</w:t>
            </w:r>
          </w:p>
        </w:tc>
        <w:tc>
          <w:tcPr>
            <w:tcW w:w="7400" w:type="dxa"/>
            <w:vAlign w:val="bottom"/>
            <w:gridSpan w:val="2"/>
          </w:tcPr>
          <w:p>
            <w:pPr>
              <w:ind w:left="1100"/>
              <w:spacing w:after="0"/>
              <w:rPr>
                <w:sz w:val="20"/>
                <w:szCs w:val="20"/>
                <w:color w:val="auto"/>
              </w:rPr>
            </w:pPr>
            <w:r>
              <w:rPr>
                <w:rFonts w:ascii="Arial" w:cs="Arial" w:eastAsia="Arial" w:hAnsi="Arial"/>
                <w:sz w:val="18"/>
                <w:szCs w:val="18"/>
                <w:color w:val="auto"/>
              </w:rPr>
              <w:t>Applicable</w:t>
            </w:r>
          </w:p>
        </w:tc>
      </w:tr>
      <w:tr>
        <w:trPr>
          <w:trHeight w:val="675"/>
        </w:trPr>
        <w:tc>
          <w:tcPr>
            <w:tcW w:w="3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935"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970"/>
              <w:spacing w:after="0"/>
              <w:rPr>
                <w:sz w:val="20"/>
                <w:szCs w:val="20"/>
                <w:color w:val="auto"/>
              </w:rPr>
            </w:pPr>
            <w:r>
              <w:rPr>
                <w:rFonts w:ascii="Arial" w:cs="Arial" w:eastAsia="Arial" w:hAnsi="Arial"/>
                <w:sz w:val="18"/>
                <w:szCs w:val="18"/>
                <w:b w:val="1"/>
                <w:bCs w:val="1"/>
                <w:color w:val="auto"/>
                <w:w w:val="79"/>
              </w:rPr>
              <w:t>4.</w:t>
            </w: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Calculation Agent.</w:t>
            </w:r>
          </w:p>
        </w:tc>
        <w:tc>
          <w:tcPr>
            <w:tcW w:w="8600" w:type="dxa"/>
            <w:vAlign w:val="bottom"/>
          </w:tcPr>
          <w:p>
            <w:pPr>
              <w:ind w:left="2320"/>
              <w:spacing w:after="0"/>
              <w:rPr>
                <w:sz w:val="20"/>
                <w:szCs w:val="20"/>
                <w:color w:val="auto"/>
              </w:rPr>
            </w:pPr>
            <w:r>
              <w:rPr>
                <w:rFonts w:ascii="Arial" w:cs="Arial" w:eastAsia="Arial" w:hAnsi="Arial"/>
                <w:sz w:val="18"/>
                <w:szCs w:val="18"/>
                <w:color w:val="auto"/>
                <w:w w:val="94"/>
              </w:rPr>
              <w:t>Dealer, whose adjustments, determinations and calculations shall be made in good</w:t>
            </w:r>
          </w:p>
        </w:tc>
      </w:tr>
      <w:tr>
        <w:trPr>
          <w:trHeight w:val="237"/>
        </w:trPr>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600" w:type="dxa"/>
            <w:vAlign w:val="bottom"/>
          </w:tcPr>
          <w:p>
            <w:pPr>
              <w:ind w:left="2320"/>
              <w:spacing w:after="0"/>
              <w:rPr>
                <w:sz w:val="20"/>
                <w:szCs w:val="20"/>
                <w:color w:val="auto"/>
              </w:rPr>
            </w:pPr>
            <w:r>
              <w:rPr>
                <w:rFonts w:ascii="Arial" w:cs="Arial" w:eastAsia="Arial" w:hAnsi="Arial"/>
                <w:sz w:val="18"/>
                <w:szCs w:val="18"/>
                <w:color w:val="auto"/>
                <w:w w:val="97"/>
              </w:rPr>
              <w:t xml:space="preserve">faith and  in  a  commercially  reasonable  manner;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following  the</w:t>
            </w:r>
          </w:p>
        </w:tc>
      </w:tr>
    </w:tbl>
    <w:p>
      <w:pPr>
        <w:jc w:val="both"/>
        <w:ind w:left="4960"/>
        <w:spacing w:after="0" w:line="281" w:lineRule="auto"/>
        <w:rPr>
          <w:sz w:val="20"/>
          <w:szCs w:val="20"/>
          <w:color w:val="auto"/>
        </w:rPr>
      </w:pPr>
      <w:r>
        <w:rPr>
          <w:rFonts w:ascii="Arial" w:cs="Arial" w:eastAsia="Arial" w:hAnsi="Arial"/>
          <w:sz w:val="16"/>
          <w:szCs w:val="16"/>
          <w:color w:val="auto"/>
        </w:rPr>
        <w:t>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w:t>
      </w:r>
    </w:p>
    <w:p>
      <w:pPr>
        <w:spacing w:after="0" w:line="3" w:lineRule="exact"/>
        <w:rPr>
          <w:sz w:val="20"/>
          <w:szCs w:val="20"/>
          <w:color w:val="auto"/>
        </w:rPr>
      </w:pPr>
    </w:p>
    <w:p>
      <w:pPr>
        <w:jc w:val="both"/>
        <w:ind w:left="4960"/>
        <w:spacing w:after="0" w:line="284" w:lineRule="auto"/>
        <w:rPr>
          <w:sz w:val="20"/>
          <w:szCs w:val="20"/>
          <w:color w:val="auto"/>
        </w:rPr>
      </w:pPr>
      <w:r>
        <w:rPr>
          <w:rFonts w:ascii="Arial" w:cs="Arial" w:eastAsia="Arial" w:hAnsi="Arial"/>
          <w:sz w:val="16"/>
          <w:szCs w:val="16"/>
          <w:color w:val="auto"/>
        </w:rPr>
        <w:t>(5)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(or, if earlier, the date on which such Event of Default is no longer continuing), as the Calculation Agent. Following any determination, adjustment or calculation by the Calculation Agent hereunder, upon a request by Counterparty, the Calculation Agent shall promptly (but in any event within five Scheduled Trading Days) provide to Counterparty by e-mail to the e-mail address provided by Counterparty in such request a report (in a commonly used file format for the storage and manipulation of financial data) displaying in reasonable detail the basis for such determination, adjustment or calculation (including any assumptions used in making such determination, adjustment or calculation), it being understood that the Calculation Agent shall not be obligated to disclose any proprietary models used by it for such determination, adjustment or calculation or any information that may be proprietary or confidential or subject to an obligation not to disclose such information.</w:t>
      </w:r>
    </w:p>
    <w:p>
      <w:pPr>
        <w:spacing w:after="0" w:line="386" w:lineRule="exact"/>
        <w:rPr>
          <w:sz w:val="20"/>
          <w:szCs w:val="20"/>
          <w:color w:val="auto"/>
        </w:rPr>
      </w:pPr>
    </w:p>
    <w:p>
      <w:pPr>
        <w:ind w:left="1000" w:hanging="992"/>
        <w:spacing w:after="0"/>
        <w:tabs>
          <w:tab w:leader="none" w:pos="10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right="7100" w:hanging="644"/>
        <w:spacing w:after="0" w:line="500"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Account for payments to Counterparty: To be advised.</w:t>
      </w:r>
    </w:p>
    <w:p>
      <w:pPr>
        <w:spacing w:after="0" w:line="1" w:lineRule="exact"/>
        <w:rPr>
          <w:rFonts w:ascii="Arial" w:cs="Arial" w:eastAsia="Arial" w:hAnsi="Arial"/>
          <w:sz w:val="18"/>
          <w:szCs w:val="18"/>
          <w:color w:val="auto"/>
        </w:rPr>
      </w:pPr>
    </w:p>
    <w:p>
      <w:pPr>
        <w:ind w:left="1300" w:right="6480"/>
        <w:spacing w:after="0" w:line="500" w:lineRule="auto"/>
        <w:rPr>
          <w:rFonts w:ascii="Arial" w:cs="Arial" w:eastAsia="Arial" w:hAnsi="Arial"/>
          <w:sz w:val="18"/>
          <w:szCs w:val="18"/>
          <w:color w:val="auto"/>
        </w:rPr>
      </w:pPr>
      <w:r>
        <w:rPr>
          <w:rFonts w:ascii="Arial" w:cs="Arial" w:eastAsia="Arial" w:hAnsi="Arial"/>
          <w:sz w:val="18"/>
          <w:szCs w:val="18"/>
          <w:color w:val="auto"/>
        </w:rPr>
        <w:t>Account for delivery of Shares to Counterparty: To be advised.</w:t>
      </w:r>
    </w:p>
    <w:p>
      <w:pPr>
        <w:spacing w:after="0" w:line="1" w:lineRule="exact"/>
        <w:rPr>
          <w:rFonts w:ascii="Arial" w:cs="Arial" w:eastAsia="Arial" w:hAnsi="Arial"/>
          <w:sz w:val="18"/>
          <w:szCs w:val="18"/>
          <w:color w:val="auto"/>
        </w:rPr>
      </w:pPr>
    </w:p>
    <w:p>
      <w:pPr>
        <w:ind w:left="1300" w:right="7580" w:hanging="644"/>
        <w:spacing w:after="0" w:line="498"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Account for payments to Dealer: [______]</w:t>
      </w:r>
    </w:p>
    <w:p>
      <w:pPr>
        <w:spacing w:after="0" w:line="1" w:lineRule="exact"/>
        <w:rPr>
          <w:rFonts w:ascii="Arial" w:cs="Arial" w:eastAsia="Arial" w:hAnsi="Arial"/>
          <w:sz w:val="18"/>
          <w:szCs w:val="18"/>
          <w:color w:val="auto"/>
        </w:rPr>
      </w:pPr>
    </w:p>
    <w:p>
      <w:pPr>
        <w:ind w:left="1000" w:hanging="992"/>
        <w:spacing w:after="0"/>
        <w:tabs>
          <w:tab w:leader="none" w:pos="10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Offices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Office of Dealer for the Transaction is: [______]</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9" w:name="page120"/>
    <w:bookmarkEnd w:id="119"/>
    <w:p>
      <w:pPr>
        <w:ind w:left="1000" w:hanging="992"/>
        <w:spacing w:after="0"/>
        <w:tabs>
          <w:tab w:leader="none" w:pos="10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Cracker Barrel Old Country Store, Inc.</w:t>
      </w:r>
    </w:p>
    <w:p>
      <w:pPr>
        <w:spacing w:after="0" w:line="23" w:lineRule="exact"/>
        <w:rPr>
          <w:rFonts w:ascii="Arial" w:cs="Arial" w:eastAsia="Arial" w:hAnsi="Arial"/>
          <w:sz w:val="18"/>
          <w:szCs w:val="18"/>
          <w:color w:val="auto"/>
        </w:rPr>
      </w:pPr>
    </w:p>
    <w:p>
      <w:pPr>
        <w:ind w:left="1300" w:right="8440"/>
        <w:spacing w:after="0" w:line="265" w:lineRule="auto"/>
        <w:rPr>
          <w:rFonts w:ascii="Arial" w:cs="Arial" w:eastAsia="Arial" w:hAnsi="Arial"/>
          <w:sz w:val="18"/>
          <w:szCs w:val="18"/>
          <w:color w:val="auto"/>
        </w:rPr>
      </w:pPr>
      <w:r>
        <w:rPr>
          <w:rFonts w:ascii="Arial" w:cs="Arial" w:eastAsia="Arial" w:hAnsi="Arial"/>
          <w:sz w:val="17"/>
          <w:szCs w:val="17"/>
          <w:color w:val="auto"/>
        </w:rPr>
        <w:t>305 Hartmann Drive P.O. Box 787</w:t>
      </w:r>
    </w:p>
    <w:p>
      <w:pPr>
        <w:ind w:left="1300" w:right="7560"/>
        <w:spacing w:after="0" w:line="250" w:lineRule="auto"/>
        <w:rPr>
          <w:rFonts w:ascii="Arial" w:cs="Arial" w:eastAsia="Arial" w:hAnsi="Arial"/>
          <w:sz w:val="18"/>
          <w:szCs w:val="18"/>
          <w:color w:val="auto"/>
        </w:rPr>
      </w:pPr>
      <w:r>
        <w:rPr>
          <w:rFonts w:ascii="Arial" w:cs="Arial" w:eastAsia="Arial" w:hAnsi="Arial"/>
          <w:sz w:val="18"/>
          <w:szCs w:val="18"/>
          <w:color w:val="auto"/>
        </w:rPr>
        <w:t>Lebanon, Tennessee 37088-0787 Attention: [______] Telephone No.: [______] Facsimile No.: [______]</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Legal Entity Identifier (LEI) for Counterparty is: 8P4PHQIUWPIECBFBW745</w:t>
      </w:r>
    </w:p>
    <w:p>
      <w:pPr>
        <w:spacing w:after="0" w:line="210" w:lineRule="exact"/>
        <w:rPr>
          <w:rFonts w:ascii="Arial" w:cs="Arial" w:eastAsia="Arial" w:hAnsi="Arial"/>
          <w:sz w:val="18"/>
          <w:szCs w:val="18"/>
          <w:color w:val="auto"/>
        </w:rPr>
      </w:pPr>
    </w:p>
    <w:p>
      <w:pPr>
        <w:ind w:left="1300" w:right="6340" w:hanging="644"/>
        <w:spacing w:after="0" w:line="498"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Address for notices or communications to Dealer: [______]</w:t>
      </w:r>
    </w:p>
    <w:p>
      <w:pPr>
        <w:spacing w:after="0" w:line="1" w:lineRule="exact"/>
        <w:rPr>
          <w:rFonts w:ascii="Arial" w:cs="Arial" w:eastAsia="Arial" w:hAnsi="Arial"/>
          <w:sz w:val="18"/>
          <w:szCs w:val="18"/>
          <w:color w:val="auto"/>
        </w:rPr>
      </w:pPr>
    </w:p>
    <w:p>
      <w:pPr>
        <w:ind w:left="1000" w:hanging="992"/>
        <w:spacing w:after="0"/>
        <w:tabs>
          <w:tab w:leader="none" w:pos="10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Counterparty</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Counterparty hereby represents and warrants to Dealer on the date hereof and on and as of the Premium Payment Date that:</w:t>
      </w:r>
    </w:p>
    <w:p>
      <w:pPr>
        <w:spacing w:after="0" w:line="225" w:lineRule="exact"/>
        <w:rPr>
          <w:sz w:val="20"/>
          <w:szCs w:val="20"/>
          <w:color w:val="auto"/>
        </w:rPr>
      </w:pPr>
    </w:p>
    <w:p>
      <w:pPr>
        <w:jc w:val="both"/>
        <w:ind w:left="1300" w:hanging="644"/>
        <w:spacing w:after="0" w:line="253"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lieu of the representation set forth in Section 3(a)(ii) of the Agreement, 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96"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lieu of the representation set forth in Section 3(a)(iii)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July 31, 2020,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9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lieu of the representation set forth in Section 3(a)(iv) of the Agreement, to Counterparty’s knowledge, 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it and its affiliates is not and, after consummation of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44" w:hanging="644"/>
        <w:spacing w:after="0"/>
        <w:tabs>
          <w:tab w:leader="none" w:pos="64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Counterparty is not, on the date hereof, in possession of any material non-public information with respect to Counterparty or the Shares.</w:t>
      </w:r>
    </w:p>
    <w:p>
      <w:pPr>
        <w:spacing w:after="0" w:line="248" w:lineRule="exact"/>
        <w:rPr>
          <w:rFonts w:ascii="Arial" w:cs="Arial" w:eastAsia="Arial" w:hAnsi="Arial"/>
          <w:sz w:val="16"/>
          <w:szCs w:val="16"/>
          <w:color w:val="auto"/>
        </w:rPr>
      </w:pPr>
    </w:p>
    <w:p>
      <w:pPr>
        <w:jc w:val="both"/>
        <w:ind w:left="644" w:hanging="644"/>
        <w:spacing w:after="0" w:line="293" w:lineRule="auto"/>
        <w:tabs>
          <w:tab w:leader="none" w:pos="64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To Counterparty’s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Counterparty makes no representation or warranty regarding (i) any such requirement that is applicable generally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of, or transactions in, common equity securities of a U.S. incorporated corporation listed on the Exchange by Dealer or any of its affiliates solely as a result of it or any of such affiliates being a financial institution or broker-dealer.</w:t>
      </w:r>
    </w:p>
    <w:p>
      <w:pPr>
        <w:spacing w:after="0" w:line="164" w:lineRule="exact"/>
        <w:rPr>
          <w:rFonts w:ascii="Arial" w:cs="Arial" w:eastAsia="Arial" w:hAnsi="Arial"/>
          <w:sz w:val="16"/>
          <w:szCs w:val="16"/>
          <w:color w:val="auto"/>
        </w:rPr>
      </w:pPr>
    </w:p>
    <w:p>
      <w:pPr>
        <w:jc w:val="both"/>
        <w:ind w:left="644" w:hanging="644"/>
        <w:spacing w:after="0" w:line="259" w:lineRule="auto"/>
        <w:tabs>
          <w:tab w:leader="none" w:pos="6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assets of Counterparty do not constitute “plan assets” under the Employee Retirement Income Security Act of 1974, as amended, the Department of Labor Regulations promulgated thereunder or similar law.</w:t>
      </w:r>
    </w:p>
    <w:p>
      <w:pPr>
        <w:spacing w:after="0" w:line="170" w:lineRule="exact"/>
        <w:rPr>
          <w:rFonts w:ascii="Arial" w:cs="Arial" w:eastAsia="Arial" w:hAnsi="Arial"/>
          <w:sz w:val="18"/>
          <w:szCs w:val="18"/>
          <w:color w:val="auto"/>
        </w:rPr>
      </w:pPr>
    </w:p>
    <w:p>
      <w:pPr>
        <w:jc w:val="both"/>
        <w:ind w:left="644" w:hanging="644"/>
        <w:spacing w:after="0" w:line="271" w:lineRule="auto"/>
        <w:tabs>
          <w:tab w:leader="none" w:pos="64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Counterparty acknowledges that the board of directors of Counterparty has granted the approval necessary to cause the restrictions set forth in Tennessee Code Annotated Section 48-103 et seq. (the “</w:t>
      </w:r>
      <w:r>
        <w:rPr>
          <w:rFonts w:ascii="Arial" w:cs="Arial" w:eastAsia="Arial" w:hAnsi="Arial"/>
          <w:sz w:val="17"/>
          <w:szCs w:val="17"/>
          <w:b w:val="1"/>
          <w:bCs w:val="1"/>
          <w:color w:val="auto"/>
        </w:rPr>
        <w:t>Business Combinations Statute</w:t>
      </w:r>
      <w:r>
        <w:rPr>
          <w:rFonts w:ascii="Arial" w:cs="Arial" w:eastAsia="Arial" w:hAnsi="Arial"/>
          <w:sz w:val="17"/>
          <w:szCs w:val="17"/>
          <w:color w:val="auto"/>
        </w:rPr>
        <w:t>”) to be inapplicable to the Transaction, including, without limitation, transactions in, or linked to, Counterparty’s securities to be effected by Dealer in connection with hedging the Transaction, and as a result neither Dealer nor any of its affiliates or associates shall be subject to the restrictions in the Business Combinations Statute as an “interested shareholder” of Counterparty by virtue of (i) its entry into the Transaction or (ii) any act that Dealer may take in furtherance of the Transaction (including without limitation the hedging transactions to be effected by Dealer or its affiliates in connection with the Transaction, whether in Shares or transactions that references the Shares) or (iii) its purchase of, as the case may be, and/or marketmaking in, the Convertible Notes.</w:t>
      </w:r>
    </w:p>
    <w:p>
      <w:pPr>
        <w:spacing w:after="0" w:line="178"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On each of the Trade Date and the Premium Payment Date, Counterparty is not “insolvent” (as such term is defined under Section 101(32) of the U.S. Bankruptcy Code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Counterparty would be able to purchase the Number of Shares in compliance with the laws of the jurisdiction of Counterparty’s incorporation.</w:t>
      </w:r>
    </w:p>
    <w:p>
      <w:pPr>
        <w:spacing w:after="0" w:line="165" w:lineRule="exact"/>
        <w:rPr>
          <w:rFonts w:ascii="Arial" w:cs="Arial" w:eastAsia="Arial" w:hAnsi="Arial"/>
          <w:sz w:val="17"/>
          <w:szCs w:val="17"/>
          <w:color w:val="auto"/>
        </w:rPr>
      </w:pPr>
    </w:p>
    <w:p>
      <w:pPr>
        <w:jc w:val="both"/>
        <w:ind w:left="644" w:hanging="644"/>
        <w:spacing w:after="0" w:line="272" w:lineRule="auto"/>
        <w:tabs>
          <w:tab w:leader="none" w:pos="64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On the Trade Date, neither Counterparty nor any “affiliate” or “affiliated purchaser” (each as defined in Rule 10b-18 under the Exchange Act (“</w:t>
      </w:r>
      <w:r>
        <w:rPr>
          <w:rFonts w:ascii="Arial" w:cs="Arial" w:eastAsia="Arial" w:hAnsi="Arial"/>
          <w:sz w:val="17"/>
          <w:szCs w:val="17"/>
          <w:b w:val="1"/>
          <w:bCs w:val="1"/>
          <w:color w:val="auto"/>
        </w:rPr>
        <w:t>Rule 10b-18</w:t>
      </w:r>
      <w:r>
        <w:rPr>
          <w:rFonts w:ascii="Arial" w:cs="Arial" w:eastAsia="Arial" w:hAnsi="Arial"/>
          <w:sz w:val="17"/>
          <w:szCs w:val="17"/>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other than the repurchase by Counterparty of Shares through privately negotiated, off-exchange transactions in connection with the offering of the Convertible Notes to be settled on or around the Premium Payment Date [under (and as defined in) the Base Call Option Confirmation].</w:t>
      </w:r>
    </w:p>
    <w:p>
      <w:pPr>
        <w:spacing w:after="0" w:line="177"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1" w:name="page122"/>
    <w:bookmarkEnd w:id="121"/>
    <w:p>
      <w:pPr>
        <w:ind w:left="1000" w:hanging="992"/>
        <w:spacing w:after="0"/>
        <w:tabs>
          <w:tab w:leader="none" w:pos="10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Opinions</w:t>
      </w:r>
      <w:r>
        <w:rPr>
          <w:rFonts w:ascii="Arial" w:cs="Arial" w:eastAsia="Arial" w:hAnsi="Arial"/>
          <w:sz w:val="18"/>
          <w:szCs w:val="18"/>
          <w:color w:val="auto"/>
        </w:rPr>
        <w:t>. Counterparty shall deliver to Dealer an opinion of counsel, dated as of the Premium Payment Date, with respect to the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 forth in Sections 8(a) through (d) of this Confirmation;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opinion of counsel may contain customary exceptions and qualifications. Delivery of such opinion to Dealer shall be a condition precedent for the purpose of Section 2(a)(iii) of the Agreement with respect to each obligation of Dealer under Section 2(a)(i) of the Agreement.</w:t>
      </w:r>
    </w:p>
    <w:p>
      <w:pPr>
        <w:spacing w:after="0" w:line="186" w:lineRule="exact"/>
        <w:rPr>
          <w:rFonts w:ascii="Arial" w:cs="Arial" w:eastAsia="Arial" w:hAnsi="Arial"/>
          <w:sz w:val="18"/>
          <w:szCs w:val="18"/>
          <w:color w:val="auto"/>
        </w:rPr>
      </w:pPr>
    </w:p>
    <w:p>
      <w:pPr>
        <w:jc w:val="both"/>
        <w:ind w:left="1300" w:hanging="644"/>
        <w:spacing w:after="0" w:line="283" w:lineRule="auto"/>
        <w:tabs>
          <w:tab w:leader="none" w:pos="1300" w:val="left"/>
        </w:tabs>
        <w:numPr>
          <w:ilvl w:val="1"/>
          <w:numId w:val="135"/>
        </w:numPr>
        <w:rPr>
          <w:rFonts w:ascii="Arial" w:cs="Arial" w:eastAsia="Arial" w:hAnsi="Arial"/>
          <w:sz w:val="16"/>
          <w:szCs w:val="16"/>
          <w:color w:val="auto"/>
        </w:rPr>
      </w:pPr>
      <w:r>
        <w:rPr>
          <w:rFonts w:ascii="Arial" w:cs="Arial" w:eastAsia="Arial" w:hAnsi="Arial"/>
          <w:sz w:val="16"/>
          <w:szCs w:val="16"/>
          <w:i w:val="1"/>
          <w:iCs w:val="1"/>
          <w:u w:val="single" w:color="auto"/>
          <w:color w:val="auto"/>
        </w:rPr>
        <w:t>Repurchase and Conversion Rate Adjustment Notices</w:t>
      </w:r>
      <w:r>
        <w:rPr>
          <w:rFonts w:ascii="Arial" w:cs="Arial" w:eastAsia="Arial" w:hAnsi="Arial"/>
          <w:sz w:val="16"/>
          <w:szCs w:val="16"/>
          <w:color w:val="auto"/>
        </w:rPr>
        <w:t>. Counterparty shall, on any date on which Counterparty effects any repurchase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 “</w:t>
      </w:r>
      <w:r>
        <w:rPr>
          <w:rFonts w:ascii="Arial" w:cs="Arial" w:eastAsia="Arial" w:hAnsi="Arial"/>
          <w:sz w:val="16"/>
          <w:szCs w:val="16"/>
          <w:b w:val="1"/>
          <w:bCs w:val="1"/>
          <w:color w:val="auto"/>
        </w:rPr>
        <w:t>Repurchase Event</w:t>
      </w:r>
      <w:r>
        <w:rPr>
          <w:rFonts w:ascii="Arial" w:cs="Arial" w:eastAsia="Arial" w:hAnsi="Arial"/>
          <w:sz w:val="16"/>
          <w:szCs w:val="16"/>
          <w:color w:val="auto"/>
        </w:rPr>
        <w:t>”) or otherwise engages in any transaction or event (a “</w:t>
      </w:r>
      <w:r>
        <w:rPr>
          <w:rFonts w:ascii="Arial" w:cs="Arial" w:eastAsia="Arial" w:hAnsi="Arial"/>
          <w:sz w:val="16"/>
          <w:szCs w:val="16"/>
          <w:b w:val="1"/>
          <w:bCs w:val="1"/>
          <w:color w:val="auto"/>
        </w:rPr>
        <w:t>Conversion Rate Adjustment Event</w:t>
      </w:r>
      <w:r>
        <w:rPr>
          <w:rFonts w:ascii="Arial" w:cs="Arial" w:eastAsia="Arial" w:hAnsi="Arial"/>
          <w:sz w:val="16"/>
          <w:szCs w:val="16"/>
          <w:color w:val="auto"/>
        </w:rPr>
        <w:t>”) that could reasonably be expected to lead to an increase in the “Conversion Rate” (as defined in the Indenture), promptly give Dealer a written notice of such Repurchase Event or Conversion Rate Adjustment Event (a “</w:t>
      </w:r>
      <w:r>
        <w:rPr>
          <w:rFonts w:ascii="Arial" w:cs="Arial" w:eastAsia="Arial" w:hAnsi="Arial"/>
          <w:sz w:val="16"/>
          <w:szCs w:val="16"/>
          <w:b w:val="1"/>
          <w:bCs w:val="1"/>
          <w:color w:val="auto"/>
        </w:rPr>
        <w:t>Relevant Event Notice</w:t>
      </w:r>
      <w:r>
        <w:rPr>
          <w:rFonts w:ascii="Arial" w:cs="Arial" w:eastAsia="Arial" w:hAnsi="Arial"/>
          <w:sz w:val="16"/>
          <w:szCs w:val="16"/>
          <w:color w:val="auto"/>
        </w:rPr>
        <w:t>”) on such day if following such Repurchase Event or Conversion Rate Adjustment Event, the number of outstanding Shares as determined on such day is (i) less than 17.3 million (in the case of the first such Relevant Event Notice) or (ii) thereafter more than 3.7 million less than the number of Shares included in the immediately preceding Relevant Event Notice. Counterparty agrees to indemnify and hold harmless Dealer and its affiliates and their respective officers, directors, employees, affiliates, advisors, agents and controlling persons (each,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from and against any and all losses (including losses relating to Dealer’s commercially reasonable hedging activities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 of becoming, or of the risk of becoming, a Section 16 “insider”, including without limitation, any forbearance from commercially reasonable hedging activities or cessation of hedging activities and any losses in connection therewith with respect to the Transaction), claims, damages, judgments, liabilities and reasonable expenses (including reasonable attorney’s fees), joint or several, which an Indemnified Person may become subject to, in each case, as a result of Counterparty’s failure to provide Dealer with a Relevant Event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Relevant Event Notice in accordance with this paragraph (b), such Indemnified Person shall promptly notify Counterparty in writing, and Counterparty, upon request of the Indemnified Person, shall retain one counsel per relevant jurisdiction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an indemnity may be sought hereunder (it being understood and agreed that any such notice delivered within 30 days of the commencement of any such action shall be deemed to have been delivered within a commercially reasonable period of time for such purpose), but only to the extent that Counterparty is materially prejudiced by such failure to provide such notice. In addition, Counterparty shall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left="644" w:hanging="644"/>
        <w:spacing w:after="0" w:line="279" w:lineRule="auto"/>
        <w:tabs>
          <w:tab w:leader="none" w:pos="644" w:val="left"/>
        </w:tabs>
        <w:numPr>
          <w:ilvl w:val="0"/>
          <w:numId w:val="136"/>
        </w:numPr>
        <w:rPr>
          <w:rFonts w:ascii="Arial" w:cs="Arial" w:eastAsia="Arial" w:hAnsi="Arial"/>
          <w:sz w:val="17"/>
          <w:szCs w:val="17"/>
          <w:color w:val="auto"/>
        </w:rPr>
      </w:pPr>
      <w:r>
        <w:rPr>
          <w:rFonts w:ascii="Arial" w:cs="Arial" w:eastAsia="Arial" w:hAnsi="Arial"/>
          <w:sz w:val="17"/>
          <w:szCs w:val="17"/>
          <w:i w:val="1"/>
          <w:iCs w:val="1"/>
          <w:u w:val="single" w:color="auto"/>
          <w:color w:val="auto"/>
        </w:rPr>
        <w:t>Regulation M</w:t>
      </w:r>
      <w:r>
        <w:rPr>
          <w:rFonts w:ascii="Arial" w:cs="Arial" w:eastAsia="Arial" w:hAnsi="Arial"/>
          <w:sz w:val="17"/>
          <w:szCs w:val="17"/>
          <w:color w:val="auto"/>
        </w:rPr>
        <w:t>. Counterparty is not on the Trade Date engaged in a distribution, as such term is used in Regulation M under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71" w:lineRule="exact"/>
        <w:rPr>
          <w:rFonts w:ascii="Arial" w:cs="Arial" w:eastAsia="Arial" w:hAnsi="Arial"/>
          <w:sz w:val="17"/>
          <w:szCs w:val="17"/>
          <w:color w:val="auto"/>
        </w:rPr>
      </w:pPr>
    </w:p>
    <w:p>
      <w:pPr>
        <w:jc w:val="both"/>
        <w:ind w:left="644" w:right="20" w:hanging="644"/>
        <w:spacing w:after="0" w:line="263" w:lineRule="auto"/>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i w:val="1"/>
          <w:iCs w:val="1"/>
          <w:u w:val="single" w:color="auto"/>
          <w:color w:val="auto"/>
        </w:rPr>
        <w:t>No Manipulation</w:t>
      </w:r>
      <w:r>
        <w:rPr>
          <w:rFonts w:ascii="Arial" w:cs="Arial" w:eastAsia="Arial" w:hAnsi="Arial"/>
          <w:sz w:val="18"/>
          <w:szCs w:val="18"/>
          <w:color w:val="auto"/>
        </w:rPr>
        <w:t>. Counterparty is not entering into the Transaction to create actual or apparent trading activity in the Shares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convertible into or exchangeable for the Shares) or to raise or depress or otherwise manipulate the price of the Shares (or any security convertible into or exchangeable for the Shares) or otherwise in violation of the Exchange Act.</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 or Assignment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86" w:lineRule="auto"/>
        <w:tabs>
          <w:tab w:leader="none" w:pos="130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7"/>
          <w:szCs w:val="17"/>
          <w:b w:val="1"/>
          <w:bCs w:val="1"/>
          <w:color w:val="auto"/>
        </w:rPr>
        <w:t>Transfer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transfer or assignment shall be subject to reasonable conditions that Dealer may impose, including but not limited, to the following conditions:</w:t>
      </w:r>
    </w:p>
    <w:p>
      <w:pPr>
        <w:spacing w:after="0" w:line="165" w:lineRule="exact"/>
        <w:rPr>
          <w:rFonts w:ascii="Arial" w:cs="Arial" w:eastAsia="Arial" w:hAnsi="Arial"/>
          <w:sz w:val="17"/>
          <w:szCs w:val="17"/>
          <w:color w:val="auto"/>
        </w:rPr>
      </w:pPr>
    </w:p>
    <w:p>
      <w:pPr>
        <w:ind w:left="1944" w:hanging="648"/>
        <w:spacing w:after="0" w:line="277" w:lineRule="auto"/>
        <w:tabs>
          <w:tab w:leader="none" w:pos="194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9(b) or any obligations under Section 9(l) or 9(q) of this Confirmation;</w:t>
      </w:r>
    </w:p>
    <w:p>
      <w:pPr>
        <w:spacing w:after="0" w:line="170" w:lineRule="exact"/>
        <w:rPr>
          <w:rFonts w:ascii="Arial" w:cs="Arial" w:eastAsia="Arial" w:hAnsi="Arial"/>
          <w:sz w:val="18"/>
          <w:szCs w:val="18"/>
          <w:color w:val="auto"/>
        </w:rPr>
      </w:pPr>
    </w:p>
    <w:p>
      <w:pPr>
        <w:ind w:left="1944" w:right="20" w:hanging="648"/>
        <w:spacing w:after="0" w:line="277" w:lineRule="auto"/>
        <w:tabs>
          <w:tab w:leader="none" w:pos="194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944" w:hanging="648"/>
        <w:spacing w:after="0" w:line="275" w:lineRule="auto"/>
        <w:tabs>
          <w:tab w:leader="none" w:pos="1944" w:val="left"/>
        </w:tabs>
        <w:numPr>
          <w:ilvl w:val="2"/>
          <w:numId w:val="136"/>
        </w:numPr>
        <w:rPr>
          <w:rFonts w:ascii="Arial" w:cs="Arial" w:eastAsia="Arial" w:hAnsi="Arial"/>
          <w:sz w:val="17"/>
          <w:szCs w:val="17"/>
          <w:color w:val="auto"/>
        </w:rPr>
      </w:pPr>
      <w:r>
        <w:rPr>
          <w:rFonts w:ascii="Arial" w:cs="Arial" w:eastAsia="Arial" w:hAnsi="Arial"/>
          <w:sz w:val="17"/>
          <w:szCs w:val="17"/>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176" w:lineRule="exact"/>
        <w:rPr>
          <w:rFonts w:ascii="Arial" w:cs="Arial" w:eastAsia="Arial" w:hAnsi="Arial"/>
          <w:sz w:val="17"/>
          <w:szCs w:val="17"/>
          <w:color w:val="auto"/>
        </w:rPr>
      </w:pPr>
    </w:p>
    <w:p>
      <w:pPr>
        <w:jc w:val="both"/>
        <w:ind w:left="1944" w:hanging="648"/>
        <w:spacing w:after="0" w:line="263" w:lineRule="auto"/>
        <w:tabs>
          <w:tab w:leader="none" w:pos="194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183" w:lineRule="exact"/>
        <w:rPr>
          <w:rFonts w:ascii="Arial" w:cs="Arial" w:eastAsia="Arial" w:hAnsi="Arial"/>
          <w:sz w:val="18"/>
          <w:szCs w:val="18"/>
          <w:color w:val="auto"/>
        </w:rPr>
      </w:pPr>
    </w:p>
    <w:p>
      <w:pPr>
        <w:ind w:left="1944" w:hanging="648"/>
        <w:spacing w:after="0" w:line="277" w:lineRule="auto"/>
        <w:tabs>
          <w:tab w:leader="none" w:pos="194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An Event of Default, Potential Event of Default or Termination Event will not occur as a result of such transfer and assignment;</w:t>
      </w:r>
    </w:p>
    <w:p>
      <w:pPr>
        <w:spacing w:after="0" w:line="170" w:lineRule="exact"/>
        <w:rPr>
          <w:rFonts w:ascii="Arial" w:cs="Arial" w:eastAsia="Arial" w:hAnsi="Arial"/>
          <w:sz w:val="18"/>
          <w:szCs w:val="18"/>
          <w:color w:val="auto"/>
        </w:rPr>
      </w:pPr>
    </w:p>
    <w:p>
      <w:pPr>
        <w:jc w:val="both"/>
        <w:ind w:left="1944" w:hanging="648"/>
        <w:spacing w:after="0" w:line="311" w:lineRule="auto"/>
        <w:tabs>
          <w:tab w:leader="none" w:pos="1944" w:val="left"/>
        </w:tabs>
        <w:numPr>
          <w:ilvl w:val="2"/>
          <w:numId w:val="136"/>
        </w:numPr>
        <w:rPr>
          <w:rFonts w:ascii="Arial" w:cs="Arial" w:eastAsia="Arial" w:hAnsi="Arial"/>
          <w:sz w:val="16"/>
          <w:szCs w:val="16"/>
          <w:color w:val="auto"/>
        </w:rPr>
      </w:pPr>
      <w:r>
        <w:rPr>
          <w:rFonts w:ascii="Arial" w:cs="Arial" w:eastAsia="Arial" w:hAnsi="Arial"/>
          <w:sz w:val="16"/>
          <w:szCs w:val="16"/>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48" w:lineRule="exact"/>
        <w:rPr>
          <w:rFonts w:ascii="Arial" w:cs="Arial" w:eastAsia="Arial" w:hAnsi="Arial"/>
          <w:sz w:val="16"/>
          <w:szCs w:val="16"/>
          <w:color w:val="auto"/>
        </w:rPr>
      </w:pPr>
    </w:p>
    <w:p>
      <w:pPr>
        <w:ind w:left="1944" w:hanging="648"/>
        <w:spacing w:after="0" w:line="277" w:lineRule="auto"/>
        <w:tabs>
          <w:tab w:leader="none" w:pos="194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3" w:name="page124"/>
    <w:bookmarkEnd w:id="123"/>
    <w:p>
      <w:pPr>
        <w:jc w:val="both"/>
        <w:ind w:left="840" w:hanging="656"/>
        <w:spacing w:after="0" w:line="283" w:lineRule="auto"/>
        <w:tabs>
          <w:tab w:leader="none" w:pos="8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Dealer may not transfer or assign all or any part of its rights or obligations under the Transaction without Counterparty’s consent other than (A) to an affiliate or branch of Dealer (1) that has a long-term issuer rating at the time of such transfer or assignment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or (B) with Counterparty’s prior written consent (such consent not to be unreasonably withheld) to any other third party financial institution that (I) is regulated (or whose guarantor is regulated) as to matters of financial integrity and soundness by a financial regulator of a G10 member country and (ii) has a long-term issuer rating equal to or better than the greater of (1) the credit rating of Dealer at the time of the transfer and (2) A- by Standard and Poor’s Rating Group, Inc. or its successor (“</w:t>
      </w:r>
      <w:r>
        <w:rPr>
          <w:rFonts w:ascii="Arial" w:cs="Arial" w:eastAsia="Arial" w:hAnsi="Arial"/>
          <w:sz w:val="16"/>
          <w:szCs w:val="16"/>
          <w:b w:val="1"/>
          <w:bCs w:val="1"/>
          <w:color w:val="auto"/>
        </w:rPr>
        <w:t>S&amp;P</w:t>
      </w:r>
      <w:r>
        <w:rPr>
          <w:rFonts w:ascii="Arial" w:cs="Arial" w:eastAsia="Arial" w:hAnsi="Arial"/>
          <w:sz w:val="16"/>
          <w:szCs w:val="16"/>
          <w:color w:val="auto"/>
        </w:rPr>
        <w:t>”), or A3 by Moody’s Investor Service, Inc. (“</w:t>
      </w:r>
      <w:r>
        <w:rPr>
          <w:rFonts w:ascii="Arial" w:cs="Arial" w:eastAsia="Arial" w:hAnsi="Arial"/>
          <w:sz w:val="16"/>
          <w:szCs w:val="16"/>
          <w:b w:val="1"/>
          <w:bCs w:val="1"/>
          <w:color w:val="auto"/>
        </w:rPr>
        <w:t>Moody’s</w:t>
      </w:r>
      <w:r>
        <w:rPr>
          <w:rFonts w:ascii="Arial" w:cs="Arial" w:eastAsia="Arial" w:hAnsi="Arial"/>
          <w:sz w:val="16"/>
          <w:szCs w:val="16"/>
          <w:color w:val="auto"/>
        </w:rPr>
        <w:t xml:space="preserve">”) or, if either S&amp;P or Moody’s ceases to rate such debt, at least an equivalent rating or better by a substitute rating agency mutually agreed by Counterparty and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such transfer or assignment either (i) the transferee in any such transfer or assignment is a “dealer in securities” within the meaning of Section 475(c)(1) of the Code or (ii) the transfer or assignment does not result in a deemed exchange by Counterparty within the meaning of Section 1001 of the Code. Without limiting the foregoing, no transfer or assignment by Dealer shall be permitted hereunder that would result in the occurrence of an Event of Default, Potential Event of Default or Termination Event. Dealer covenants and agrees that it shall use good faith efforts to maintain at all times prior to the Expiration Date the Section 16 Percentage below 8.5% and the Share Amount below the Applicable Share Limit. If at any time at which (A) the Section 16 Percentage exceeds 8.5% or (B) the Share Amount exceeds the Applicable Share Limit (if any applies) (any such condition described in clauses (A) or (B),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9(j) shall apply to any amount that is payable by Dealer to Counterparty pursuant to this sentence as if Counterparty was not the Affected Party). The “</w:t>
      </w:r>
      <w:r>
        <w:rPr>
          <w:rFonts w:ascii="Arial" w:cs="Arial" w:eastAsia="Arial" w:hAnsi="Arial"/>
          <w:sz w:val="16"/>
          <w:szCs w:val="16"/>
          <w:b w:val="1"/>
          <w:bCs w:val="1"/>
          <w:color w:val="auto"/>
        </w:rPr>
        <w:t>Section 16</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number of Shares that</w:t>
      </w:r>
      <w:r>
        <w:rPr>
          <w:rFonts w:ascii="Arial" w:cs="Arial" w:eastAsia="Arial" w:hAnsi="Arial"/>
          <w:sz w:val="16"/>
          <w:szCs w:val="16"/>
          <w:b w:val="1"/>
          <w:bCs w:val="1"/>
          <w:color w:val="auto"/>
        </w:rPr>
        <w:t xml:space="preserve"> </w:t>
      </w:r>
      <w:r>
        <w:rPr>
          <w:rFonts w:ascii="Arial" w:cs="Arial" w:eastAsia="Arial" w:hAnsi="Arial"/>
          <w:sz w:val="16"/>
          <w:szCs w:val="16"/>
          <w:color w:val="auto"/>
        </w:rPr>
        <w:t>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Share Amount</w:t>
      </w:r>
      <w:r>
        <w:rPr>
          <w:rFonts w:ascii="Arial" w:cs="Arial" w:eastAsia="Arial" w:hAnsi="Arial"/>
          <w:sz w:val="16"/>
          <w:szCs w:val="16"/>
          <w:color w:val="auto"/>
        </w:rPr>
        <w:t>” as of any day is the number of Shares that Dealer and any person whose ownership position would be aggregated with 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Counterparty that are, in each case, applicable to ownership of Shares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could give rise to reporting or registration obligations (except for any filings of Form 13F, Schedule 13D or Schedule 13G under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4" w:name="page125"/>
    <w:bookmarkEnd w:id="124"/>
    <w:p>
      <w:pPr>
        <w:jc w:val="both"/>
        <w:ind w:left="1304" w:hanging="656"/>
        <w:spacing w:after="0" w:line="296" w:lineRule="auto"/>
        <w:tabs>
          <w:tab w:leader="none" w:pos="130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61" w:lineRule="exact"/>
        <w:rPr>
          <w:rFonts w:ascii="Arial" w:cs="Arial" w:eastAsia="Arial" w:hAnsi="Arial"/>
          <w:sz w:val="16"/>
          <w:szCs w:val="16"/>
          <w:color w:val="auto"/>
        </w:rPr>
      </w:pPr>
    </w:p>
    <w:p>
      <w:pPr>
        <w:jc w:val="both"/>
        <w:ind w:left="644" w:hanging="644"/>
        <w:spacing w:after="0" w:line="257" w:lineRule="auto"/>
        <w:tabs>
          <w:tab w:leader="none" w:pos="644" w:val="left"/>
        </w:tabs>
        <w:numPr>
          <w:ilvl w:val="0"/>
          <w:numId w:val="139"/>
        </w:numPr>
        <w:rPr>
          <w:rFonts w:ascii="Arial" w:cs="Arial" w:eastAsia="Arial" w:hAnsi="Arial"/>
          <w:sz w:val="18"/>
          <w:szCs w:val="18"/>
          <w:color w:val="auto"/>
        </w:rPr>
      </w:pPr>
      <w:r>
        <w:rPr>
          <w:rFonts w:ascii="Arial" w:cs="Arial" w:eastAsia="Arial" w:hAnsi="Arial"/>
          <w:sz w:val="18"/>
          <w:szCs w:val="18"/>
          <w:i w:val="1"/>
          <w:iCs w:val="1"/>
          <w:u w:val="single" w:color="auto"/>
          <w:color w:val="auto"/>
        </w:rPr>
        <w:t>Staggered Settlement</w:t>
      </w:r>
      <w:r>
        <w:rPr>
          <w:rFonts w:ascii="Arial" w:cs="Arial" w:eastAsia="Arial" w:hAnsi="Arial"/>
          <w:sz w:val="18"/>
          <w:szCs w:val="18"/>
          <w:color w:val="auto"/>
        </w:rPr>
        <w:t>. If upon advice of counsel with respect to applicable legal and regulatory requirements, including any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8"/>
          <w:szCs w:val="18"/>
          <w:b w:val="1"/>
          <w:bCs w:val="1"/>
          <w:color w:val="auto"/>
        </w:rPr>
        <w:t>Nominal Settlement Date</w:t>
      </w:r>
      <w:r>
        <w:rPr>
          <w:rFonts w:ascii="Arial" w:cs="Arial" w:eastAsia="Arial" w:hAnsi="Arial"/>
          <w:sz w:val="18"/>
          <w:szCs w:val="18"/>
          <w:color w:val="auto"/>
        </w:rPr>
        <w:t>”), elect to deliver the Shares on two or more dates (each, a “</w:t>
      </w:r>
      <w:r>
        <w:rPr>
          <w:rFonts w:ascii="Arial" w:cs="Arial" w:eastAsia="Arial" w:hAnsi="Arial"/>
          <w:sz w:val="18"/>
          <w:szCs w:val="18"/>
          <w:b w:val="1"/>
          <w:bCs w:val="1"/>
          <w:color w:val="auto"/>
        </w:rPr>
        <w:t>Staggered Settlement Date</w:t>
      </w:r>
      <w:r>
        <w:rPr>
          <w:rFonts w:ascii="Arial" w:cs="Arial" w:eastAsia="Arial" w:hAnsi="Arial"/>
          <w:sz w:val="18"/>
          <w:szCs w:val="18"/>
          <w:color w:val="auto"/>
        </w:rPr>
        <w:t>”) as follows:</w:t>
      </w:r>
    </w:p>
    <w:p>
      <w:pPr>
        <w:spacing w:after="0" w:line="187" w:lineRule="exact"/>
        <w:rPr>
          <w:rFonts w:ascii="Arial" w:cs="Arial" w:eastAsia="Arial" w:hAnsi="Arial"/>
          <w:sz w:val="18"/>
          <w:szCs w:val="18"/>
          <w:color w:val="auto"/>
        </w:rPr>
      </w:pPr>
    </w:p>
    <w:p>
      <w:pPr>
        <w:ind w:left="1304" w:hanging="656"/>
        <w:spacing w:after="0" w:line="308" w:lineRule="auto"/>
        <w:tabs>
          <w:tab w:leader="none" w:pos="130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in such notice, Dealer will specify to Counterparty the related Staggered Settlement Dates (each of which will be on or prior to such Nominal Settlement Date) and the number of Shares that it will deliver on each Staggered Settlement Date;</w:t>
      </w:r>
    </w:p>
    <w:p>
      <w:pPr>
        <w:spacing w:after="0" w:line="146" w:lineRule="exact"/>
        <w:rPr>
          <w:sz w:val="20"/>
          <w:szCs w:val="20"/>
          <w:color w:val="auto"/>
        </w:rPr>
      </w:pPr>
    </w:p>
    <w:p>
      <w:pPr>
        <w:ind w:left="1304" w:right="20" w:hanging="656"/>
        <w:spacing w:after="0" w:line="308" w:lineRule="auto"/>
        <w:tabs>
          <w:tab w:leader="none" w:pos="1304"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46" w:lineRule="exact"/>
        <w:rPr>
          <w:rFonts w:ascii="Arial" w:cs="Arial" w:eastAsia="Arial" w:hAnsi="Arial"/>
          <w:sz w:val="17"/>
          <w:szCs w:val="17"/>
          <w:color w:val="auto"/>
        </w:rPr>
      </w:pPr>
    </w:p>
    <w:p>
      <w:pPr>
        <w:jc w:val="both"/>
        <w:ind w:left="1304" w:hanging="656"/>
        <w:spacing w:after="0" w:line="279" w:lineRule="auto"/>
        <w:tabs>
          <w:tab w:leader="none" w:pos="1304"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71" w:lineRule="exact"/>
        <w:rPr>
          <w:rFonts w:ascii="Arial" w:cs="Arial" w:eastAsia="Arial" w:hAnsi="Arial"/>
          <w:sz w:val="17"/>
          <w:szCs w:val="17"/>
          <w:color w:val="auto"/>
        </w:rPr>
      </w:pPr>
    </w:p>
    <w:p>
      <w:pPr>
        <w:ind w:left="644" w:hanging="644"/>
        <w:spacing w:after="0"/>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Termination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91" w:lineRule="auto"/>
        <w:tabs>
          <w:tab w:leader="none" w:pos="130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Confirmation, upon any Early Conversion in respect of which the relevant converting “Holder” (as such term is defined in the Indenture) has satisfied the requirements to conversion set forth in Section</w:t>
      </w:r>
    </w:p>
    <w:p>
      <w:pPr>
        <w:ind w:left="1304"/>
        <w:spacing w:after="0"/>
        <w:rPr>
          <w:rFonts w:ascii="Arial" w:cs="Arial" w:eastAsia="Arial" w:hAnsi="Arial"/>
          <w:sz w:val="16"/>
          <w:szCs w:val="16"/>
          <w:color w:val="auto"/>
        </w:rPr>
      </w:pPr>
      <w:r>
        <w:rPr>
          <w:rFonts w:ascii="Arial" w:cs="Arial" w:eastAsia="Arial" w:hAnsi="Arial"/>
          <w:sz w:val="18"/>
          <w:szCs w:val="18"/>
          <w:color w:val="auto"/>
        </w:rPr>
        <w:t>5.01 of the Indenture:</w:t>
      </w:r>
    </w:p>
    <w:p>
      <w:pPr>
        <w:spacing w:after="0" w:line="210" w:lineRule="exact"/>
        <w:rPr>
          <w:rFonts w:ascii="Arial" w:cs="Arial" w:eastAsia="Arial" w:hAnsi="Arial"/>
          <w:sz w:val="16"/>
          <w:szCs w:val="16"/>
          <w:color w:val="auto"/>
        </w:rPr>
      </w:pPr>
    </w:p>
    <w:p>
      <w:pPr>
        <w:jc w:val="both"/>
        <w:ind w:left="1944" w:hanging="648"/>
        <w:spacing w:after="0" w:line="275" w:lineRule="auto"/>
        <w:tabs>
          <w:tab w:leader="none" w:pos="1944" w:val="left"/>
        </w:tabs>
        <w:numPr>
          <w:ilvl w:val="2"/>
          <w:numId w:val="141"/>
        </w:numPr>
        <w:rPr>
          <w:rFonts w:ascii="Arial" w:cs="Arial" w:eastAsia="Arial" w:hAnsi="Arial"/>
          <w:sz w:val="17"/>
          <w:szCs w:val="17"/>
          <w:color w:val="auto"/>
        </w:rPr>
      </w:pPr>
      <w:r>
        <w:rPr>
          <w:rFonts w:ascii="Arial" w:cs="Arial" w:eastAsia="Arial" w:hAnsi="Arial"/>
          <w:sz w:val="17"/>
          <w:szCs w:val="17"/>
          <w:color w:val="auto"/>
        </w:rPr>
        <w:t>Counterparty shall, within five Scheduled Trading Days of the “Conversion Date” (as defined in the Indenture) for such Early Conversion, provide written notice (an “</w:t>
      </w:r>
      <w:r>
        <w:rPr>
          <w:rFonts w:ascii="Arial" w:cs="Arial" w:eastAsia="Arial" w:hAnsi="Arial"/>
          <w:sz w:val="17"/>
          <w:szCs w:val="17"/>
          <w:b w:val="1"/>
          <w:bCs w:val="1"/>
          <w:color w:val="auto"/>
        </w:rPr>
        <w:t>Early Conversion Notice</w:t>
      </w:r>
      <w:r>
        <w:rPr>
          <w:rFonts w:ascii="Arial" w:cs="Arial" w:eastAsia="Arial" w:hAnsi="Arial"/>
          <w:sz w:val="17"/>
          <w:szCs w:val="17"/>
          <w:color w:val="auto"/>
        </w:rPr>
        <w:t>”) to Dealer specifying the number of Convertible Notes surrendered for conversion on such Conversion Date (such Convertible Notes, the “</w:t>
      </w:r>
      <w:r>
        <w:rPr>
          <w:rFonts w:ascii="Arial" w:cs="Arial" w:eastAsia="Arial" w:hAnsi="Arial"/>
          <w:sz w:val="17"/>
          <w:szCs w:val="17"/>
          <w:b w:val="1"/>
          <w:bCs w:val="1"/>
          <w:color w:val="auto"/>
        </w:rPr>
        <w:t>Affected</w:t>
      </w:r>
      <w:r>
        <w:rPr>
          <w:rFonts w:ascii="Arial" w:cs="Arial" w:eastAsia="Arial" w:hAnsi="Arial"/>
          <w:sz w:val="17"/>
          <w:szCs w:val="17"/>
          <w:color w:val="auto"/>
        </w:rPr>
        <w:t xml:space="preserve"> </w:t>
      </w:r>
      <w:r>
        <w:rPr>
          <w:rFonts w:ascii="Arial" w:cs="Arial" w:eastAsia="Arial" w:hAnsi="Arial"/>
          <w:sz w:val="17"/>
          <w:szCs w:val="17"/>
          <w:b w:val="1"/>
          <w:bCs w:val="1"/>
          <w:color w:val="auto"/>
        </w:rPr>
        <w:t>Convertible Notes</w:t>
      </w:r>
      <w:r>
        <w:rPr>
          <w:rFonts w:ascii="Arial" w:cs="Arial" w:eastAsia="Arial" w:hAnsi="Arial"/>
          <w:sz w:val="17"/>
          <w:szCs w:val="17"/>
          <w:color w:val="auto"/>
        </w:rPr>
        <w:t>”), and the anticipated settlement date, and the giving of such Early Conversion Notice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an Additional Termination Event as provided in this Section 9(g)(i);</w:t>
      </w:r>
    </w:p>
    <w:p>
      <w:pPr>
        <w:spacing w:after="0" w:line="176" w:lineRule="exact"/>
        <w:rPr>
          <w:rFonts w:ascii="Arial" w:cs="Arial" w:eastAsia="Arial" w:hAnsi="Arial"/>
          <w:sz w:val="17"/>
          <w:szCs w:val="17"/>
          <w:color w:val="auto"/>
        </w:rPr>
      </w:pPr>
    </w:p>
    <w:p>
      <w:pPr>
        <w:jc w:val="both"/>
        <w:ind w:left="1944" w:hanging="648"/>
        <w:spacing w:after="0" w:line="287" w:lineRule="auto"/>
        <w:tabs>
          <w:tab w:leader="none" w:pos="1944" w:val="left"/>
        </w:tabs>
        <w:numPr>
          <w:ilvl w:val="2"/>
          <w:numId w:val="141"/>
        </w:numPr>
        <w:rPr>
          <w:rFonts w:ascii="Arial" w:cs="Arial" w:eastAsia="Arial" w:hAnsi="Arial"/>
          <w:sz w:val="16"/>
          <w:szCs w:val="16"/>
          <w:color w:val="auto"/>
        </w:rPr>
      </w:pPr>
      <w:r>
        <w:rPr>
          <w:rFonts w:ascii="Arial" w:cs="Arial" w:eastAsia="Arial" w:hAnsi="Arial"/>
          <w:sz w:val="16"/>
          <w:szCs w:val="16"/>
          <w:color w:val="auto"/>
        </w:rPr>
        <w:t>upon receipt of any such Early Conversion Notice, Dealer shall designate the second Scheduled Trading Day prior to the related settlement date for such Affected Convertible Note as an Early Termination Date with respect to the portion of the Transaction corresponding to a number of Options (the “</w:t>
      </w:r>
      <w:r>
        <w:rPr>
          <w:rFonts w:ascii="Arial" w:cs="Arial" w:eastAsia="Arial" w:hAnsi="Arial"/>
          <w:sz w:val="16"/>
          <w:szCs w:val="16"/>
          <w:b w:val="1"/>
          <w:bCs w:val="1"/>
          <w:color w:val="auto"/>
        </w:rPr>
        <w:t>Affected Number of Options</w:t>
      </w:r>
      <w:r>
        <w:rPr>
          <w:rFonts w:ascii="Arial" w:cs="Arial" w:eastAsia="Arial" w:hAnsi="Arial"/>
          <w:sz w:val="16"/>
          <w:szCs w:val="16"/>
          <w:color w:val="auto"/>
        </w:rPr>
        <w:t>”) equal to the lesser of</w:t>
      </w:r>
    </w:p>
    <w:p>
      <w:pPr>
        <w:spacing w:after="0" w:line="2" w:lineRule="exact"/>
        <w:rPr>
          <w:rFonts w:ascii="Arial" w:cs="Arial" w:eastAsia="Arial" w:hAnsi="Arial"/>
          <w:sz w:val="16"/>
          <w:szCs w:val="16"/>
          <w:color w:val="auto"/>
        </w:rPr>
      </w:pPr>
    </w:p>
    <w:p>
      <w:pPr>
        <w:jc w:val="both"/>
        <w:ind w:left="1944"/>
        <w:spacing w:after="0" w:line="290" w:lineRule="auto"/>
        <w:tabs>
          <w:tab w:leader="none" w:pos="2210" w:val="left"/>
        </w:tabs>
        <w:numPr>
          <w:ilvl w:val="3"/>
          <w:numId w:val="141"/>
        </w:numPr>
        <w:rPr>
          <w:rFonts w:ascii="Arial" w:cs="Arial" w:eastAsia="Arial" w:hAnsi="Arial"/>
          <w:sz w:val="16"/>
          <w:szCs w:val="16"/>
          <w:color w:val="auto"/>
        </w:rPr>
      </w:pPr>
      <w:r>
        <w:rPr>
          <w:rFonts w:ascii="Arial" w:cs="Arial" w:eastAsia="Arial" w:hAnsi="Arial"/>
          <w:sz w:val="16"/>
          <w:szCs w:val="16"/>
          <w:color w:val="auto"/>
        </w:rPr>
        <w:t>the number of Affected Convertible Notes [minus the “Affected Number of Options” (as defined in the Base Call Option Confirmation) (and for purposes of determining whether any Options under this Confirmation or under the Base Call Option Confirmation will be among the Affected Number of Options hereunder or under, and as defined in, the Base Call Option Confirmation, the Affected Convertible Notes specified in such Early Conversion Notice shall be allocated first to the Base Call Option Confirmation until all options thereunder are exercised or terminated)] and (y) the Number of Options as of the “Conversion Date” (as defined in the Indenture) for such Early Conversion;</w:t>
      </w:r>
    </w:p>
    <w:p>
      <w:pPr>
        <w:spacing w:after="0" w:line="38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5" w:name="page126"/>
    <w:bookmarkEnd w:id="125"/>
    <w:p>
      <w:pPr>
        <w:ind w:left="1480" w:hanging="648"/>
        <w:spacing w:after="0"/>
        <w:tabs>
          <w:tab w:leader="none" w:pos="14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any payment hereunder with respect to such termination shall be calculated pursuant to Section 6 of the Agreement as if</w:t>
      </w:r>
    </w:p>
    <w:p>
      <w:pPr>
        <w:spacing w:after="0" w:line="46" w:lineRule="exact"/>
        <w:rPr>
          <w:rFonts w:ascii="Arial" w:cs="Arial" w:eastAsia="Arial" w:hAnsi="Arial"/>
          <w:sz w:val="16"/>
          <w:szCs w:val="16"/>
          <w:color w:val="auto"/>
        </w:rPr>
      </w:pPr>
    </w:p>
    <w:p>
      <w:pPr>
        <w:jc w:val="both"/>
        <w:ind w:left="148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payable with respect to such termination shall not be greater than (1) the Applicable Percentage,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(2) the Affected Number of Options,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(3) (x) the sum of (i) the amount of cash paid (if any) to the Holder (as such term is defined in the Indenture) of an Affected Convertible Note upon conversion of such Affected Convertible Note and (ii) the number of Shares delivered (if any) to the Holder (as such term is defined in the Indenture) of an Affected Convertible Note upon conversion of such Affected Convertible Note,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Applicable Limit Price on the settlement date for the conversion of such Affected Convertible Note,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USD 1,000;</w:t>
      </w:r>
    </w:p>
    <w:p>
      <w:pPr>
        <w:spacing w:after="0" w:line="178" w:lineRule="exact"/>
        <w:rPr>
          <w:rFonts w:ascii="Arial" w:cs="Arial" w:eastAsia="Arial" w:hAnsi="Arial"/>
          <w:sz w:val="16"/>
          <w:szCs w:val="16"/>
          <w:color w:val="auto"/>
        </w:rPr>
      </w:pPr>
    </w:p>
    <w:p>
      <w:pPr>
        <w:jc w:val="both"/>
        <w:ind w:left="1480" w:hanging="648"/>
        <w:spacing w:after="0" w:line="255"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 to the conversion rate for the Convertible Notes has occurred pursuant to any Make-Whole Adjustment or Discretionary Adjustment and (z) the corresponding Convertible Notes remain outstanding; and</w:t>
      </w:r>
    </w:p>
    <w:p>
      <w:pPr>
        <w:spacing w:after="0" w:line="192" w:lineRule="exact"/>
        <w:rPr>
          <w:rFonts w:ascii="Arial" w:cs="Arial" w:eastAsia="Arial" w:hAnsi="Arial"/>
          <w:sz w:val="18"/>
          <w:szCs w:val="18"/>
          <w:color w:val="auto"/>
        </w:rPr>
      </w:pPr>
    </w:p>
    <w:p>
      <w:pPr>
        <w:ind w:left="1480" w:hanging="648"/>
        <w:spacing w:after="0" w:line="308" w:lineRule="auto"/>
        <w:tabs>
          <w:tab w:leader="none" w:pos="14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Transaction shall remain in full force and effect, except that, as of the “Conversion Date”(as defined in the Indenture) for such Early Conversion, the Number of Options shall be reduced by the Affected Number of Options.</w:t>
      </w:r>
    </w:p>
    <w:p>
      <w:pPr>
        <w:spacing w:after="0" w:line="146" w:lineRule="exact"/>
        <w:rPr>
          <w:rFonts w:ascii="Arial" w:cs="Arial" w:eastAsia="Arial" w:hAnsi="Arial"/>
          <w:sz w:val="17"/>
          <w:szCs w:val="17"/>
          <w:color w:val="auto"/>
        </w:rPr>
      </w:pPr>
    </w:p>
    <w:p>
      <w:pPr>
        <w:jc w:val="both"/>
        <w:ind w:left="840" w:hanging="656"/>
        <w:spacing w:after="0" w:line="273" w:lineRule="auto"/>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Confirmation if an event of default with respect to Counterparty occurs under the terms of the Convertible Notes as set forth in Section 7.01 of the Indenture that results in the Convertible Notes becoming or being declared due and payable pursuant to the terms of the Indenture, then such acceleration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177" w:lineRule="exact"/>
        <w:rPr>
          <w:rFonts w:ascii="Arial" w:cs="Arial" w:eastAsia="Arial" w:hAnsi="Arial"/>
          <w:sz w:val="17"/>
          <w:szCs w:val="17"/>
          <w:color w:val="auto"/>
        </w:rPr>
      </w:pPr>
    </w:p>
    <w:p>
      <w:pPr>
        <w:jc w:val="both"/>
        <w:ind w:left="840" w:hanging="656"/>
        <w:spacing w:after="0" w:line="269" w:lineRule="auto"/>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7"/>
          <w:szCs w:val="17"/>
          <w:b w:val="1"/>
          <w:bCs w:val="1"/>
          <w:color w:val="auto"/>
        </w:rPr>
        <w:t>Amendment Event</w:t>
      </w:r>
      <w:r>
        <w:rPr>
          <w:rFonts w:ascii="Arial" w:cs="Arial" w:eastAsia="Arial" w:hAnsi="Arial"/>
          <w:sz w:val="17"/>
          <w:szCs w:val="17"/>
          <w:color w:val="auto"/>
        </w:rPr>
        <w:t>” means that Counterparty amends, modifies, supplements, waives or obtains a waiver in respect of any term of the Indenture or the Convertible Notes governing the principal amount, coupon, maturity, repurchase obligation of Counterparty,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8.01(I) of the Indenture that, as determined by the Calculation Agent, conforms the Indenture to the description of Convertible Notes in the Offering Memorandum or (y) pursuant to Section 5.09 of the Indenture), in each case, without the consent of Dealer.</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6" w:name="page127"/>
    <w:bookmarkEnd w:id="126"/>
    <w:p>
      <w:pPr>
        <w:jc w:val="both"/>
        <w:ind w:left="840" w:hanging="656"/>
        <w:spacing w:after="0" w:line="285" w:lineRule="auto"/>
        <w:tabs>
          <w:tab w:leader="none" w:pos="8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Within five Scheduled Trading Days of any Repayment Event (as defined below), Counterparty (x) in the case of a Repayment Event pursuant to Section 4.02 or Section 4.03 of the Indenture, shall notify Dealer in writing of such Repayment Event and (y) in the case of a Repayment Event not described in clause (x) above, may notify Dealer in writing of such Repayment Event, in each case, including the aggregate principal amount of Convertible Notes (the “</w:t>
      </w:r>
      <w:r>
        <w:rPr>
          <w:rFonts w:ascii="Arial" w:cs="Arial" w:eastAsia="Arial" w:hAnsi="Arial"/>
          <w:sz w:val="16"/>
          <w:szCs w:val="16"/>
          <w:b w:val="1"/>
          <w:bCs w:val="1"/>
          <w:color w:val="auto"/>
        </w:rPr>
        <w:t>Repayment Convertible Notes</w:t>
      </w:r>
      <w:r>
        <w:rPr>
          <w:rFonts w:ascii="Arial" w:cs="Arial" w:eastAsia="Arial" w:hAnsi="Arial"/>
          <w:sz w:val="16"/>
          <w:szCs w:val="16"/>
          <w:color w:val="auto"/>
        </w:rPr>
        <w:t>”) subject to such Repayment Event (any such notice, a “</w:t>
      </w:r>
      <w:r>
        <w:rPr>
          <w:rFonts w:ascii="Arial" w:cs="Arial" w:eastAsia="Arial" w:hAnsi="Arial"/>
          <w:sz w:val="16"/>
          <w:szCs w:val="16"/>
          <w:b w:val="1"/>
          <w:bCs w:val="1"/>
          <w:color w:val="auto"/>
        </w:rPr>
        <w:t>Repayment Notice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Repayment Notice described in clause</w:t>
      </w:r>
    </w:p>
    <w:p>
      <w:pPr>
        <w:spacing w:after="0" w:line="1" w:lineRule="exact"/>
        <w:rPr>
          <w:rFonts w:ascii="Arial" w:cs="Arial" w:eastAsia="Arial" w:hAnsi="Arial"/>
          <w:sz w:val="16"/>
          <w:szCs w:val="16"/>
          <w:color w:val="auto"/>
        </w:rPr>
      </w:pPr>
    </w:p>
    <w:p>
      <w:pPr>
        <w:jc w:val="both"/>
        <w:ind w:left="8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(y) above shall be effective unless it contains the representation by Counterparty set forth in Section 8(f) as of the date of such Repayment Notice[;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this Confirmation]. The receipt by Dealer from Counterparty of any Repayment Notice shall constitute an Additional Termination Event as provided in this Section 9(g)(iv). Upon receipt of any such Repayment Notice, Dealer shall designate an Exchange Business Day following receipt of such Repayment Notice as an Early Termination Date with respect to the portion of the Transaction corresponding to a number of Options (the “</w:t>
      </w:r>
      <w:r>
        <w:rPr>
          <w:rFonts w:ascii="Arial" w:cs="Arial" w:eastAsia="Arial" w:hAnsi="Arial"/>
          <w:sz w:val="16"/>
          <w:szCs w:val="16"/>
          <w:b w:val="1"/>
          <w:bCs w:val="1"/>
          <w:color w:val="auto"/>
        </w:rPr>
        <w:t>Repayment Options</w:t>
      </w:r>
      <w:r>
        <w:rPr>
          <w:rFonts w:ascii="Arial" w:cs="Arial" w:eastAsia="Arial" w:hAnsi="Arial"/>
          <w:sz w:val="16"/>
          <w:szCs w:val="16"/>
          <w:color w:val="auto"/>
        </w:rPr>
        <w:t xml:space="preserve">”) equal to the lesser of (A) [(x)] the aggregate principal amount of such Convertible Notes specified in such Repayment Notice,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USD 1,000,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number of “Repayment Options” (as defined in the Base Call Option Confirmation), if any, that relate to such Convertible Notes (and for the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 and (B) the Number of Options as of the date Dealer designates such Early Termination Date and, as of such date, the Number of Options shall be reduced by the number of Repayment Options. Any payment hereunder with respect to such termination (the “</w:t>
      </w:r>
      <w:r>
        <w:rPr>
          <w:rFonts w:ascii="Arial" w:cs="Arial" w:eastAsia="Arial" w:hAnsi="Arial"/>
          <w:sz w:val="16"/>
          <w:szCs w:val="16"/>
          <w:b w:val="1"/>
          <w:bCs w:val="1"/>
          <w:color w:val="auto"/>
        </w:rPr>
        <w:t>Repayment Unwind Payment</w:t>
      </w:r>
      <w:r>
        <w:rPr>
          <w:rFonts w:ascii="Arial" w:cs="Arial" w:eastAsia="Arial" w:hAnsi="Arial"/>
          <w:sz w:val="16"/>
          <w:szCs w:val="16"/>
          <w:color w:val="auto"/>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(and, for the avoidance of doubt, the provisions of Section 9(j) shall apply to any amount that is payable by Dealer to Counterparty pursuant to this Section 9(g)(iv) as if Counterparty was not the Affected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a Repayment Event pursuant to Section 4.02 or Section 4.03 of the Indenture, the Repayment Unwind Payment shall not be greater than (x) the number of Repayment Options multiplied by (y) the product of</w:t>
      </w:r>
    </w:p>
    <w:p>
      <w:pPr>
        <w:spacing w:after="0" w:line="12" w:lineRule="exact"/>
        <w:rPr>
          <w:rFonts w:ascii="Arial" w:cs="Arial" w:eastAsia="Arial" w:hAnsi="Arial"/>
          <w:sz w:val="16"/>
          <w:szCs w:val="16"/>
          <w:color w:val="auto"/>
        </w:rPr>
      </w:pPr>
    </w:p>
    <w:p>
      <w:pPr>
        <w:jc w:val="both"/>
        <w:ind w:left="840"/>
        <w:spacing w:after="0" w:line="284" w:lineRule="auto"/>
        <w:rPr>
          <w:rFonts w:ascii="Arial" w:cs="Arial" w:eastAsia="Arial" w:hAnsi="Arial"/>
          <w:sz w:val="16"/>
          <w:szCs w:val="16"/>
          <w:color w:val="auto"/>
        </w:rPr>
      </w:pPr>
      <w:r>
        <w:rPr>
          <w:rFonts w:ascii="Arial" w:cs="Arial" w:eastAsia="Arial" w:hAnsi="Arial"/>
          <w:sz w:val="16"/>
          <w:szCs w:val="16"/>
          <w:color w:val="auto"/>
        </w:rPr>
        <w:t>(A) the Applicable Percentage and (B) the excess, if any, of (I) the principal amount per Repayment Convertible Note over (II) USD 1,000 per Repayment Convertible Note. “</w:t>
      </w:r>
      <w:r>
        <w:rPr>
          <w:rFonts w:ascii="Arial" w:cs="Arial" w:eastAsia="Arial" w:hAnsi="Arial"/>
          <w:sz w:val="16"/>
          <w:szCs w:val="16"/>
          <w:b w:val="1"/>
          <w:bCs w:val="1"/>
          <w:color w:val="auto"/>
        </w:rPr>
        <w:t>Repayment Event</w:t>
      </w:r>
      <w:r>
        <w:rPr>
          <w:rFonts w:ascii="Arial" w:cs="Arial" w:eastAsia="Arial" w:hAnsi="Arial"/>
          <w:sz w:val="16"/>
          <w:szCs w:val="16"/>
          <w:color w:val="auto"/>
        </w:rPr>
        <w:t>” means that (i) any Convertible Notes are repurchased or redeemed (whether in connection with or as a result of a fundamental change, howsoever defined,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(for any reason other than as a result of an acceleration of the Convertible Notes that results in an Additional Termination Event pursuant to Section 9(g)(ii)), or (iv) any Convertible Notes are exchanged by or for the benefit of the “Holders” (as defined in the Indenture) thereof for any other securities of Counterparty or any of its subsidiaries (or any other property, or any combination thereof) pursuant to any exchange offer or similar transaction. For the avoidance of doubt, any conversion of Convertible Notes (whether into cash, Shares, “Reference Property” (as defined in the Indenture) or any combination thereof) pursuant to the terms of the Indenture shall not constitute a Repayment Event. For the avoidance of doubt, in determining the amount payable in respect of such Affected Transaction pursuant to Section 6 of the Agreement, the Calculation Agent shall assume (1) the relevant Repayment Event and any conversions, adjustments, agreements, payments, deliveries or acquisitions by or on behalf of Counterparty leading thereto had not occurred, (2) no adjustments to the Conversion Rate have occurred pursuant to any Excluded Provision and (3) the corresponding Convertible Notes remain outstanding as if the circumstances related to the Repayment Event had not occurred.</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7" w:name="page128"/>
    <w:bookmarkEnd w:id="127"/>
    <w:p>
      <w:pPr>
        <w:ind w:left="644" w:hanging="644"/>
        <w:spacing w:after="0"/>
        <w:tabs>
          <w:tab w:leader="none" w:pos="644" w:val="left"/>
        </w:tabs>
        <w:numPr>
          <w:ilvl w:val="0"/>
          <w:numId w:val="145"/>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 to Equity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59" w:lineRule="auto"/>
        <w:tabs>
          <w:tab w:leader="none" w:pos="130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86" w:lineRule="exact"/>
        <w:rPr>
          <w:rFonts w:ascii="Arial" w:cs="Arial" w:eastAsia="Arial" w:hAnsi="Arial"/>
          <w:sz w:val="18"/>
          <w:szCs w:val="18"/>
          <w:color w:val="auto"/>
        </w:rPr>
      </w:pPr>
    </w:p>
    <w:p>
      <w:pPr>
        <w:ind w:left="1304" w:right="20" w:hanging="656"/>
        <w:spacing w:after="0" w:line="308" w:lineRule="auto"/>
        <w:tabs>
          <w:tab w:leader="none" w:pos="130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46" w:lineRule="exact"/>
        <w:rPr>
          <w:rFonts w:ascii="Arial" w:cs="Arial" w:eastAsia="Arial" w:hAnsi="Arial"/>
          <w:sz w:val="17"/>
          <w:szCs w:val="17"/>
          <w:color w:val="auto"/>
        </w:rPr>
      </w:pPr>
    </w:p>
    <w:p>
      <w:pPr>
        <w:jc w:val="both"/>
        <w:ind w:left="644" w:hanging="644"/>
        <w:spacing w:after="0" w:line="311" w:lineRule="auto"/>
        <w:tabs>
          <w:tab w:leader="none" w:pos="644" w:val="left"/>
        </w:tabs>
        <w:numPr>
          <w:ilvl w:val="0"/>
          <w:numId w:val="145"/>
        </w:numPr>
        <w:rPr>
          <w:rFonts w:ascii="Arial" w:cs="Arial" w:eastAsia="Arial" w:hAnsi="Arial"/>
          <w:sz w:val="16"/>
          <w:szCs w:val="16"/>
          <w:color w:val="auto"/>
        </w:rPr>
      </w:pPr>
      <w:r>
        <w:rPr>
          <w:rFonts w:ascii="Arial" w:cs="Arial" w:eastAsia="Arial" w:hAnsi="Arial"/>
          <w:sz w:val="16"/>
          <w:szCs w:val="16"/>
          <w:i w:val="1"/>
          <w:iCs w:val="1"/>
          <w:u w:val="single" w:color="auto"/>
          <w:color w:val="auto"/>
        </w:rPr>
        <w:t>No Netting or Set-off</w:t>
      </w:r>
      <w:r>
        <w:rPr>
          <w:rFonts w:ascii="Arial" w:cs="Arial" w:eastAsia="Arial" w:hAnsi="Arial"/>
          <w:sz w:val="16"/>
          <w:szCs w:val="16"/>
          <w:color w:val="auto"/>
        </w:rPr>
        <w:t>. The provisions of Section 2(c) of the Agreement shall not apply to the Transaction. Each party waives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it may have to set-off delivery or payment obligations it owes to the other party under the Transaction against any delivery or payment obligations owed to it by the other party under any other agreement between parties hereto, by operation of law or otherwise.</w:t>
      </w:r>
    </w:p>
    <w:p>
      <w:pPr>
        <w:spacing w:after="0" w:line="148" w:lineRule="exact"/>
        <w:rPr>
          <w:rFonts w:ascii="Arial" w:cs="Arial" w:eastAsia="Arial" w:hAnsi="Arial"/>
          <w:sz w:val="16"/>
          <w:szCs w:val="16"/>
          <w:color w:val="auto"/>
        </w:rPr>
      </w:pPr>
    </w:p>
    <w:p>
      <w:pPr>
        <w:jc w:val="both"/>
        <w:ind w:left="644" w:hanging="644"/>
        <w:spacing w:after="0" w:line="285" w:lineRule="auto"/>
        <w:tabs>
          <w:tab w:leader="none" w:pos="644" w:val="left"/>
        </w:tabs>
        <w:numPr>
          <w:ilvl w:val="0"/>
          <w:numId w:val="145"/>
        </w:numPr>
        <w:rPr>
          <w:rFonts w:ascii="Arial" w:cs="Arial" w:eastAsia="Arial" w:hAnsi="Arial"/>
          <w:sz w:val="16"/>
          <w:szCs w:val="16"/>
          <w:color w:val="auto"/>
        </w:rPr>
      </w:pPr>
      <w:r>
        <w:rPr>
          <w:rFonts w:ascii="Arial" w:cs="Arial" w:eastAsia="Arial" w:hAnsi="Arial"/>
          <w:sz w:val="16"/>
          <w:szCs w:val="16"/>
          <w:i w:val="1"/>
          <w:iCs w:val="1"/>
          <w:u w:val="single" w:color="auto"/>
          <w:color w:val="auto"/>
        </w:rPr>
        <w:t>Alternative Calculations and Payment on Early Termination and on Certain Extraordinary Events</w:t>
      </w:r>
      <w:r>
        <w:rPr>
          <w:rFonts w:ascii="Arial" w:cs="Arial" w:eastAsia="Arial" w:hAnsi="Arial"/>
          <w:sz w:val="16"/>
          <w:szCs w:val="16"/>
          <w:color w:val="auto"/>
        </w:rPr>
        <w:t>. If (a) an Early Termination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Arial" w:cs="Arial" w:eastAsia="Arial" w:hAnsi="Arial"/>
          <w:sz w:val="16"/>
          <w:szCs w:val="16"/>
          <w:b w:val="1"/>
          <w:bCs w:val="1"/>
          <w:color w:val="auto"/>
        </w:rPr>
        <w:t>Payment Obligation</w:t>
      </w:r>
      <w:r>
        <w:rPr>
          <w:rFonts w:ascii="Arial" w:cs="Arial" w:eastAsia="Arial" w:hAnsi="Arial"/>
          <w:sz w:val="16"/>
          <w:szCs w:val="16"/>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Counterparty remakes the representation set forth in Section 8(f) as of the date of such election and (c) Dealer agrees, in its commercially reasonable discretion, to such election, in which case the provisions of Section 12.7 or Section 12.9 of the Equity Definitions, or the provisions of Section 6(d)(ii) of the Agreement, as the case may be, shall apply.</w:t>
      </w:r>
    </w:p>
    <w:p>
      <w:pPr>
        <w:spacing w:after="0" w:line="176" w:lineRule="exact"/>
        <w:rPr>
          <w:sz w:val="20"/>
          <w:szCs w:val="20"/>
          <w:color w:val="auto"/>
        </w:rPr>
      </w:pPr>
    </w:p>
    <w:p>
      <w:pPr>
        <w:ind w:left="3464" w:right="100" w:hanging="2416"/>
        <w:spacing w:after="0" w:line="275" w:lineRule="auto"/>
        <w:tabs>
          <w:tab w:leader="none" w:pos="3444" w:val="left"/>
        </w:tabs>
        <w:rPr>
          <w:sz w:val="20"/>
          <w:szCs w:val="20"/>
          <w:color w:val="auto"/>
        </w:rPr>
      </w:pPr>
      <w:r>
        <w:rPr>
          <w:rFonts w:ascii="Arial" w:cs="Arial" w:eastAsia="Arial" w:hAnsi="Arial"/>
          <w:sz w:val="18"/>
          <w:szCs w:val="18"/>
          <w:color w:val="auto"/>
        </w:rPr>
        <w:t>Share Termination Alternative:</w:t>
      </w:r>
      <w:r>
        <w:rPr>
          <w:sz w:val="20"/>
          <w:szCs w:val="20"/>
          <w:color w:val="auto"/>
        </w:rPr>
        <w:tab/>
      </w:r>
      <w:r>
        <w:rPr>
          <w:rFonts w:ascii="Arial" w:cs="Arial" w:eastAsia="Arial" w:hAnsi="Arial"/>
          <w:sz w:val="17"/>
          <w:szCs w:val="17"/>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39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8" w:name="page129"/>
    <w:bookmarkEnd w:id="128"/>
    <w:p>
      <w:pPr>
        <w:ind w:left="1044"/>
        <w:spacing w:after="0" w:line="277" w:lineRule="auto"/>
        <w:rPr>
          <w:sz w:val="20"/>
          <w:szCs w:val="20"/>
          <w:color w:val="auto"/>
        </w:rPr>
      </w:pPr>
      <w:r>
        <w:rPr>
          <w:rFonts w:ascii="Arial" w:cs="Arial" w:eastAsia="Arial" w:hAnsi="Arial"/>
          <w:sz w:val="18"/>
          <w:szCs w:val="18"/>
          <w:color w:val="auto"/>
        </w:rPr>
        <w:t>Share Termination Delivery Property:</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Arial" w:cs="Arial" w:eastAsia="Arial" w:hAnsi="Arial"/>
          <w:sz w:val="17"/>
          <w:szCs w:val="17"/>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176" w:lineRule="exact"/>
        <w:rPr>
          <w:sz w:val="20"/>
          <w:szCs w:val="20"/>
          <w:color w:val="auto"/>
        </w:rPr>
      </w:pPr>
    </w:p>
    <w:p>
      <w:pPr>
        <w:sectPr>
          <w:pgSz w:w="11900" w:h="16838" w:orient="portrait"/>
          <w:cols w:equalWidth="0" w:num="2">
            <w:col w:w="3044" w:space="420"/>
            <w:col w:w="7120"/>
          </w:cols>
          <w:pgMar w:left="976" w:top="908" w:right="339" w:bottom="1440" w:gutter="0" w:footer="0" w:header="0"/>
        </w:sectPr>
      </w:pPr>
    </w:p>
    <w:p>
      <w:pPr>
        <w:ind w:left="1044"/>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w:t>
      </w:r>
    </w:p>
    <w:p>
      <w:pPr>
        <w:spacing w:after="0" w:line="192" w:lineRule="exact"/>
        <w:rPr>
          <w:sz w:val="20"/>
          <w:szCs w:val="20"/>
          <w:color w:val="auto"/>
        </w:rPr>
      </w:pPr>
    </w:p>
    <w:p>
      <w:pPr>
        <w:sectPr>
          <w:pgSz w:w="11900" w:h="16838" w:orient="portrait"/>
          <w:cols w:equalWidth="0" w:num="2">
            <w:col w:w="3204" w:space="260"/>
            <w:col w:w="7120"/>
          </w:cols>
          <w:pgMar w:left="976" w:top="908" w:right="339" w:bottom="1440" w:gutter="0" w:footer="0" w:header="0"/>
          <w:type w:val="continuous"/>
        </w:sectPr>
      </w:pPr>
    </w:p>
    <w:p>
      <w:pPr>
        <w:ind w:left="1044"/>
        <w:spacing w:after="0" w:line="277" w:lineRule="auto"/>
        <w:rPr>
          <w:sz w:val="20"/>
          <w:szCs w:val="20"/>
          <w:color w:val="auto"/>
        </w:rPr>
      </w:pPr>
      <w:r>
        <w:rPr>
          <w:rFonts w:ascii="Arial" w:cs="Arial" w:eastAsia="Arial" w:hAnsi="Arial"/>
          <w:sz w:val="18"/>
          <w:szCs w:val="18"/>
          <w:color w:val="auto"/>
        </w:rPr>
        <w:t>Share Termination Delivery Unit:</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auto"/>
        </w:rPr>
        <w:t>One Share or, if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6"/>
          <w:szCs w:val="16"/>
          <w:b w:val="1"/>
          <w:bCs w:val="1"/>
          <w:color w:val="auto"/>
        </w:rPr>
        <w:t>Exchange Property</w:t>
      </w:r>
      <w:r>
        <w:rPr>
          <w:rFonts w:ascii="Arial" w:cs="Arial" w:eastAsia="Arial" w:hAnsi="Arial"/>
          <w:sz w:val="16"/>
          <w:szCs w:val="16"/>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164" w:lineRule="exact"/>
        <w:rPr>
          <w:sz w:val="20"/>
          <w:szCs w:val="20"/>
          <w:color w:val="auto"/>
        </w:rPr>
      </w:pPr>
    </w:p>
    <w:p>
      <w:pPr>
        <w:sectPr>
          <w:pgSz w:w="11900" w:h="16838" w:orient="portrait"/>
          <w:cols w:equalWidth="0" w:num="2">
            <w:col w:w="3044" w:space="420"/>
            <w:col w:w="7120"/>
          </w:cols>
          <w:pgMar w:left="976" w:top="908" w:right="339" w:bottom="1440" w:gutter="0" w:footer="0" w:header="0"/>
          <w:type w:val="continuous"/>
        </w:sectPr>
      </w:pPr>
    </w:p>
    <w:p>
      <w:pPr>
        <w:jc w:val="center"/>
        <w:ind w:left="664"/>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00" w:lineRule="exact"/>
        <w:rPr>
          <w:sz w:val="20"/>
          <w:szCs w:val="20"/>
          <w:color w:val="auto"/>
        </w:rPr>
      </w:pPr>
    </w:p>
    <w:p>
      <w:pPr>
        <w:sectPr>
          <w:pgSz w:w="11900" w:h="16838" w:orient="portrait"/>
          <w:cols w:equalWidth="0" w:num="2">
            <w:col w:w="2744" w:space="720"/>
            <w:col w:w="7120"/>
          </w:cols>
          <w:pgMar w:left="976" w:top="908" w:right="339" w:bottom="1440" w:gutter="0" w:footer="0" w:header="0"/>
          <w:type w:val="continuous"/>
        </w:sectPr>
      </w:pPr>
    </w:p>
    <w:p>
      <w:pPr>
        <w:spacing w:after="0" w:line="48" w:lineRule="exact"/>
        <w:rPr>
          <w:sz w:val="20"/>
          <w:szCs w:val="20"/>
          <w:color w:val="auto"/>
        </w:rPr>
      </w:pPr>
    </w:p>
    <w:p>
      <w:pPr>
        <w:ind w:left="1044"/>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95" w:lineRule="exact"/>
        <w:rPr>
          <w:sz w:val="20"/>
          <w:szCs w:val="20"/>
          <w:color w:val="auto"/>
        </w:rPr>
      </w:pPr>
    </w:p>
    <w:p>
      <w:pPr>
        <w:sectPr>
          <w:pgSz w:w="11900" w:h="16838" w:orient="portrait"/>
          <w:cols w:equalWidth="0" w:num="2">
            <w:col w:w="3084" w:space="380"/>
            <w:col w:w="7120"/>
          </w:cols>
          <w:pgMar w:left="976" w:top="908" w:right="339" w:bottom="1440" w:gutter="0" w:footer="0" w:header="0"/>
          <w:type w:val="continuous"/>
        </w:sectPr>
      </w:pPr>
    </w:p>
    <w:p>
      <w:pPr>
        <w:jc w:val="both"/>
        <w:ind w:left="644" w:hanging="644"/>
        <w:spacing w:after="0" w:line="275" w:lineRule="auto"/>
        <w:tabs>
          <w:tab w:leader="none" w:pos="644" w:val="left"/>
        </w:tabs>
        <w:numPr>
          <w:ilvl w:val="0"/>
          <w:numId w:val="146"/>
        </w:numPr>
        <w:rPr>
          <w:rFonts w:ascii="Arial" w:cs="Arial" w:eastAsia="Arial" w:hAnsi="Arial"/>
          <w:sz w:val="17"/>
          <w:szCs w:val="17"/>
          <w:color w:val="auto"/>
        </w:rPr>
      </w:pPr>
      <w:r>
        <w:rPr>
          <w:rFonts w:ascii="Arial" w:cs="Arial" w:eastAsia="Arial" w:hAnsi="Arial"/>
          <w:sz w:val="17"/>
          <w:szCs w:val="17"/>
          <w:i w:val="1"/>
          <w:iCs w:val="1"/>
          <w:u w:val="single" w:color="auto"/>
          <w:color w:val="auto"/>
        </w:rPr>
        <w:t>Waiver of Jury Trial</w:t>
      </w:r>
      <w:r>
        <w:rPr>
          <w:rFonts w:ascii="Arial" w:cs="Arial" w:eastAsia="Arial" w:hAnsi="Arial"/>
          <w:sz w:val="17"/>
          <w:szCs w:val="17"/>
          <w:color w:val="auto"/>
        </w:rPr>
        <w:t>. Each party waives, to the fullest extent permitted by applicable law, any right it may have to a trial by jury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39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type w:val="continuous"/>
        </w:sectPr>
      </w:pPr>
    </w:p>
    <w:bookmarkStart w:id="129" w:name="page130"/>
    <w:bookmarkEnd w:id="129"/>
    <w:p>
      <w:pPr>
        <w:jc w:val="both"/>
        <w:ind w:left="644" w:hanging="644"/>
        <w:spacing w:after="0" w:line="284" w:lineRule="auto"/>
        <w:tabs>
          <w:tab w:leader="none" w:pos="644" w:val="left"/>
        </w:tabs>
        <w:numPr>
          <w:ilvl w:val="0"/>
          <w:numId w:val="147"/>
        </w:numPr>
        <w:rPr>
          <w:rFonts w:ascii="Arial" w:cs="Arial" w:eastAsia="Arial" w:hAnsi="Arial"/>
          <w:sz w:val="16"/>
          <w:szCs w:val="16"/>
          <w:color w:val="auto"/>
        </w:rPr>
      </w:pPr>
      <w:r>
        <w:rPr>
          <w:rFonts w:ascii="Arial" w:cs="Arial" w:eastAsia="Arial" w:hAnsi="Arial"/>
          <w:sz w:val="16"/>
          <w:szCs w:val="16"/>
          <w:i w:val="1"/>
          <w:iCs w:val="1"/>
          <w:u w:val="single" w:color="auto"/>
          <w:color w:val="auto"/>
        </w:rPr>
        <w:t>Registration</w:t>
      </w:r>
      <w:r>
        <w:rPr>
          <w:rFonts w:ascii="Arial" w:cs="Arial" w:eastAsia="Arial" w:hAnsi="Arial"/>
          <w:sz w:val="16"/>
          <w:szCs w:val="16"/>
          <w:color w:val="auto"/>
        </w:rPr>
        <w:t>. Counterparty hereby agrees that if, in the good faith reasonable judgment of Dealer, based on the advice of counsel,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t>
      </w:r>
      <w:r>
        <w:rPr>
          <w:rFonts w:ascii="Arial" w:cs="Arial" w:eastAsia="Arial" w:hAnsi="Arial"/>
          <w:sz w:val="16"/>
          <w:szCs w:val="16"/>
          <w:b w:val="1"/>
          <w:bCs w:val="1"/>
          <w:color w:val="auto"/>
        </w:rPr>
        <w:t>Hedge Shares</w:t>
      </w:r>
      <w:r>
        <w:rPr>
          <w:rFonts w:ascii="Arial" w:cs="Arial" w:eastAsia="Arial" w:hAnsi="Arial"/>
          <w:sz w:val="16"/>
          <w:szCs w:val="16"/>
          <w:color w:val="auto"/>
        </w:rPr>
        <w:t xml:space="preserve">”) acquired by 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secondary offering of comparable size for an issuer comparable to Counterparty, (B) provide accountant’s “comfort” letters in customary form for a registered secondary offering of comparable size for an issuer comparable to Counterparty, (C) provide disclosure opinions of nationally recognized outside counsel to Counterparty reasonably acceptable to Dealer, (D) provide other customary opinions, certificates and closing documents customary in form for a registered secondary offering of comparable size for an issuer comparable to Counterparty and (E) afford Dealer a reasonable opportunity to conduct a “due diligence” investigation with respect to Counterparty customary in scope for a registered secondary offering of comparable size for an issuer comparable to 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in form and substance satisfactory to Dealer (in which case, the Calculation Agent shall make any commercially reasonable adjustments to the terms of the Transaction that are necessary, in its commercially reasonable judgment, to compensate Dealer for any discount from the public market price of the Shares incurred on the sale of Hedge Shares in a private placement of similar size), or (iii) purchase the Hedge Shares from Dealer at the then-current market price on such Exchange Business Days, and in the amounts and at such time(s), requested by Dealer. For the avoidance of doubt, under no circumstances shall Counterparty be obligated to make the election described in clause (iii) of the preceding sentence.</w:t>
      </w:r>
    </w:p>
    <w:p>
      <w:pPr>
        <w:spacing w:after="0" w:line="179" w:lineRule="exact"/>
        <w:rPr>
          <w:rFonts w:ascii="Arial" w:cs="Arial" w:eastAsia="Arial" w:hAnsi="Arial"/>
          <w:sz w:val="16"/>
          <w:szCs w:val="16"/>
          <w:color w:val="auto"/>
        </w:rPr>
      </w:pPr>
    </w:p>
    <w:p>
      <w:pPr>
        <w:jc w:val="both"/>
        <w:ind w:left="644" w:hanging="644"/>
        <w:spacing w:after="0" w:line="259" w:lineRule="auto"/>
        <w:tabs>
          <w:tab w:leader="none" w:pos="644" w:val="left"/>
        </w:tabs>
        <w:numPr>
          <w:ilvl w:val="0"/>
          <w:numId w:val="147"/>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86"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147"/>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 to Extend</w:t>
      </w:r>
      <w:r>
        <w:rPr>
          <w:rFonts w:ascii="Arial" w:cs="Arial" w:eastAsia="Arial" w:hAnsi="Arial"/>
          <w:sz w:val="16"/>
          <w:szCs w:val="16"/>
          <w:color w:val="auto"/>
        </w:rPr>
        <w:t>. Dealer may postpone or add, in whole or in part, any Valid Day or Valid Days during the Settlement Averaging Period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other date of valuation, payment or delivery by Dealer, with respect to some or all of the Options hereunder, if Dealer reasonably determines (in its commercially reasonable discretion with respect to clause (i) below and upon the advice of counsel with respect to clause (ii) below) that such action is reasonably necessary or appropriate to (i) preserve Dealer’s commercially reasonable hedging or commercially reasonable hedge unwind activity hereunder in light of existing liquidity conditions (but only in the case of a material decrease in liquidity relative to Dealer’s expectations as of the Trade Date), or (ii) enable Dealer to effect transactions in Shares in connection with its commercially reasonable hedging, commercially reasonable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(so long as such policies and procedures would generally be applicable to counterparties similar to Counterparty and transactions similar to the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Valid Day or other date of valuation, payment or delivery may be postponed or added more than 50 Valid Days after the original Valid Day or other date of valuation, payment or delivery, as the case may be.</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0" w:name="page131"/>
    <w:bookmarkEnd w:id="130"/>
    <w:p>
      <w:pPr>
        <w:jc w:val="both"/>
        <w:ind w:left="644" w:hanging="644"/>
        <w:spacing w:after="0" w:line="291" w:lineRule="auto"/>
        <w:tabs>
          <w:tab w:leader="none" w:pos="644" w:val="left"/>
        </w:tabs>
        <w:numPr>
          <w:ilvl w:val="0"/>
          <w:numId w:val="148"/>
        </w:numPr>
        <w:rPr>
          <w:rFonts w:ascii="Arial" w:cs="Arial" w:eastAsia="Arial" w:hAnsi="Arial"/>
          <w:sz w:val="16"/>
          <w:szCs w:val="16"/>
          <w:color w:val="auto"/>
        </w:rPr>
      </w:pPr>
      <w:r>
        <w:rPr>
          <w:rFonts w:ascii="Arial" w:cs="Arial" w:eastAsia="Arial" w:hAnsi="Arial"/>
          <w:sz w:val="16"/>
          <w:szCs w:val="16"/>
          <w:i w:val="1"/>
          <w:iCs w:val="1"/>
          <w:u w:val="single" w:color="auto"/>
          <w:color w:val="auto"/>
        </w:rPr>
        <w:t>Status of Claims in Bankruptcy</w:t>
      </w:r>
      <w:r>
        <w:rPr>
          <w:rFonts w:ascii="Arial" w:cs="Arial" w:eastAsia="Arial" w:hAnsi="Arial"/>
          <w:sz w:val="16"/>
          <w:szCs w:val="16"/>
          <w:color w:val="auto"/>
        </w:rPr>
        <w:t>. Dealer acknowledges and agrees that this Confirmation is not intended to convey to Dealer rights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Counterparty with respect to the Transaction that are senior to the claims of common stockholders of Counterparty in any United States bankruptcy proceedings of 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herein shall limit or shall be deemed to limit Dealer’s rights in respect of any transactions other than the Transaction. For the avoidance of doubt, notwithstanding any provision of this Confirmation, the Agreement, the Equity Definitions, or any other agreement between the parties to the contrary, the obligations of Counterparty under the Transaction are not secured by any collateral.</w:t>
      </w:r>
    </w:p>
    <w:p>
      <w:pPr>
        <w:spacing w:after="0" w:line="166" w:lineRule="exact"/>
        <w:rPr>
          <w:rFonts w:ascii="Arial" w:cs="Arial" w:eastAsia="Arial" w:hAnsi="Arial"/>
          <w:sz w:val="16"/>
          <w:szCs w:val="16"/>
          <w:color w:val="auto"/>
        </w:rPr>
      </w:pPr>
    </w:p>
    <w:p>
      <w:pPr>
        <w:jc w:val="both"/>
        <w:ind w:left="644" w:hanging="644"/>
        <w:spacing w:after="0" w:line="293" w:lineRule="auto"/>
        <w:tabs>
          <w:tab w:leader="none" w:pos="644" w:val="left"/>
        </w:tabs>
        <w:numPr>
          <w:ilvl w:val="0"/>
          <w:numId w:val="148"/>
        </w:numPr>
        <w:rPr>
          <w:rFonts w:ascii="Arial" w:cs="Arial" w:eastAsia="Arial" w:hAnsi="Arial"/>
          <w:sz w:val="16"/>
          <w:szCs w:val="16"/>
          <w:color w:val="auto"/>
        </w:rPr>
      </w:pPr>
      <w:r>
        <w:rPr>
          <w:rFonts w:ascii="Arial" w:cs="Arial" w:eastAsia="Arial" w:hAnsi="Arial"/>
          <w:sz w:val="16"/>
          <w:szCs w:val="16"/>
          <w:i w:val="1"/>
          <w:iCs w:val="1"/>
          <w:u w:val="single" w:color="auto"/>
          <w:color w:val="auto"/>
        </w:rPr>
        <w:t>Securities Contract; Swap Agreement</w:t>
      </w:r>
      <w:r>
        <w:rPr>
          <w:rFonts w:ascii="Arial" w:cs="Arial" w:eastAsia="Arial" w:hAnsi="Arial"/>
          <w:sz w:val="16"/>
          <w:szCs w:val="16"/>
          <w:color w:val="auto"/>
        </w:rPr>
        <w:t>. The parties hereto intend for (i) the Transaction to be a “securities contract” and a “swap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64" w:lineRule="exact"/>
        <w:rPr>
          <w:rFonts w:ascii="Arial" w:cs="Arial" w:eastAsia="Arial" w:hAnsi="Arial"/>
          <w:sz w:val="16"/>
          <w:szCs w:val="16"/>
          <w:color w:val="auto"/>
        </w:rPr>
      </w:pPr>
    </w:p>
    <w:p>
      <w:pPr>
        <w:ind w:left="644" w:hanging="644"/>
        <w:spacing w:after="0"/>
        <w:tabs>
          <w:tab w:leader="none" w:pos="644" w:val="left"/>
        </w:tabs>
        <w:numPr>
          <w:ilvl w:val="0"/>
          <w:numId w:val="148"/>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Certain Other Events</w:t>
      </w:r>
      <w:r>
        <w:rPr>
          <w:rFonts w:ascii="Arial" w:cs="Arial" w:eastAsia="Arial" w:hAnsi="Arial"/>
          <w:sz w:val="18"/>
          <w:szCs w:val="18"/>
          <w:color w:val="auto"/>
        </w:rPr>
        <w:t>. Counterparty covenants and agrees that:</w:t>
      </w:r>
    </w:p>
    <w:p>
      <w:pPr>
        <w:spacing w:after="0" w:line="225" w:lineRule="exact"/>
        <w:rPr>
          <w:rFonts w:ascii="Arial" w:cs="Arial" w:eastAsia="Arial" w:hAnsi="Arial"/>
          <w:sz w:val="18"/>
          <w:szCs w:val="18"/>
          <w:color w:val="auto"/>
        </w:rPr>
      </w:pPr>
    </w:p>
    <w:p>
      <w:pPr>
        <w:jc w:val="both"/>
        <w:ind w:left="1304" w:hanging="656"/>
        <w:spacing w:after="0" w:line="257" w:lineRule="auto"/>
        <w:tabs>
          <w:tab w:leader="none" w:pos="130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promptly following the public announcement of the results of any election by the holders of Shares with respect to the consideration due upon consummation of any Merger Event, Counterparty shall give Dealer written notice of the weighted average of the types and amounts of consideration actually received by holders of Shares (the date of such notification, the “</w:t>
      </w:r>
      <w:r>
        <w:rPr>
          <w:rFonts w:ascii="Arial" w:cs="Arial" w:eastAsia="Arial" w:hAnsi="Arial"/>
          <w:sz w:val="18"/>
          <w:szCs w:val="18"/>
          <w:b w:val="1"/>
          <w:bCs w:val="1"/>
          <w:color w:val="auto"/>
        </w:rPr>
        <w:t>Consideration Notification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Consideration Notification Date be later than the date on which such Merger Event is consummated; and</w:t>
      </w:r>
    </w:p>
    <w:p>
      <w:pPr>
        <w:spacing w:after="0" w:line="187" w:lineRule="exact"/>
        <w:rPr>
          <w:rFonts w:ascii="Arial" w:cs="Arial" w:eastAsia="Arial" w:hAnsi="Arial"/>
          <w:sz w:val="18"/>
          <w:szCs w:val="18"/>
          <w:color w:val="auto"/>
        </w:rPr>
      </w:pPr>
    </w:p>
    <w:p>
      <w:pPr>
        <w:jc w:val="both"/>
        <w:ind w:left="1304" w:hanging="656"/>
        <w:spacing w:after="0" w:line="267" w:lineRule="auto"/>
        <w:tabs>
          <w:tab w:leader="none" w:pos="130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 Counterparty shall give Dealer commercially reasonable advance (but in any event at least one Exchange Business Day prior to the relevant Adjustment Notice Deadline) written notice of the section or sections of the Indenture and, if applicable, the formula therein, pursuant to which any adjustment will be made to the Convertible Notes in connection with any Potential Adjustment Event (other than a Potential Adjustment in respect of the Dilution Adjustment Provisions set forth in Section 5.05(A)(ii) or Section 5.05(A)(iv) of the Indenture) or Merger Event and (B) promptly following any such adjustment, Counterparty shall give Dealer written notice of the details of such adjustment. The “</w:t>
      </w:r>
      <w:r>
        <w:rPr>
          <w:rFonts w:ascii="Arial" w:cs="Arial" w:eastAsia="Arial" w:hAnsi="Arial"/>
          <w:sz w:val="17"/>
          <w:szCs w:val="17"/>
          <w:b w:val="1"/>
          <w:bCs w:val="1"/>
          <w:color w:val="auto"/>
        </w:rPr>
        <w:t>Adjustment Notice Deadline</w:t>
      </w:r>
      <w:r>
        <w:rPr>
          <w:rFonts w:ascii="Arial" w:cs="Arial" w:eastAsia="Arial" w:hAnsi="Arial"/>
          <w:sz w:val="17"/>
          <w:szCs w:val="17"/>
          <w:color w:val="auto"/>
        </w:rPr>
        <w:t>” means (i) for any Potential Adjustment in respect of the Dilution Adjustment Provision set forth in Section 5.05(A)(i) of the Indenture, the relevant Ex-Dividend Date (as such term is defined in the Indenture) or Effective Date (as such term is defined in the Indenture), as the case may be, (ii) for any Potential Adjustment in respect of the Dilution Adjustment Provision in the first formula set forth in Section 5.05(A)(iii) of the Indenture, the first Trading Day (as such term is defined in the Indenture) of the period referred to in the definition of “SP” in such formula, (iii) for any Potential Adjustment in respect of the Dilution Adjustment Provision in the second formula set forth in Section 5.05(A)(iii) of the Indenture, the first Trading Day (as such term is defined in the Indenture) of the Valuation Period (as such term is defined in the Indenture), (iv) for any Potential Adjustment in respect of the Dilution Adjustment Provision set forth in Section 5.05(A)(v) of the Indenture, the first Trading Day (as such term is defined in the Indenture) of the period referred to in the definition of “SP’” in the formula in such Section, and (v) for any Merger Event, the effective date of such Merger Event (or, if earlier, the first day of any valuation or similar period in respect of such Merger Event).</w:t>
      </w:r>
    </w:p>
    <w:p>
      <w:pPr>
        <w:spacing w:after="0" w:line="191" w:lineRule="exact"/>
        <w:rPr>
          <w:rFonts w:ascii="Arial" w:cs="Arial" w:eastAsia="Arial" w:hAnsi="Arial"/>
          <w:sz w:val="17"/>
          <w:szCs w:val="17"/>
          <w:color w:val="auto"/>
        </w:rPr>
      </w:pPr>
    </w:p>
    <w:p>
      <w:pPr>
        <w:jc w:val="both"/>
        <w:ind w:left="644" w:hanging="644"/>
        <w:spacing w:after="0" w:line="290" w:lineRule="auto"/>
        <w:tabs>
          <w:tab w:leader="none" w:pos="644" w:val="left"/>
        </w:tabs>
        <w:numPr>
          <w:ilvl w:val="0"/>
          <w:numId w:val="148"/>
        </w:numPr>
        <w:rPr>
          <w:rFonts w:ascii="Arial" w:cs="Arial" w:eastAsia="Arial" w:hAnsi="Arial"/>
          <w:sz w:val="16"/>
          <w:szCs w:val="16"/>
          <w:color w:val="auto"/>
        </w:rPr>
      </w:pPr>
      <w:r>
        <w:rPr>
          <w:rFonts w:ascii="Arial" w:cs="Arial" w:eastAsia="Arial" w:hAnsi="Arial"/>
          <w:sz w:val="16"/>
          <w:szCs w:val="16"/>
          <w:i w:val="1"/>
          <w:iCs w:val="1"/>
          <w:u w:val="single" w:color="auto"/>
          <w:color w:val="auto"/>
        </w:rPr>
        <w:t>Agreements and Acknowledgements Regarding Hedging</w:t>
      </w:r>
      <w:r>
        <w:rPr>
          <w:rFonts w:ascii="Arial" w:cs="Arial" w:eastAsia="Arial" w:hAnsi="Arial"/>
          <w:sz w:val="16"/>
          <w:szCs w:val="16"/>
          <w:color w:val="auto"/>
        </w:rPr>
        <w:t>. Counterparty understands, acknowledges and agrees that: (A) at any time on</w:t>
      </w:r>
      <w:r>
        <w:rPr>
          <w:rFonts w:ascii="Arial" w:cs="Arial" w:eastAsia="Arial" w:hAnsi="Arial"/>
          <w:sz w:val="16"/>
          <w:szCs w:val="16"/>
          <w:i w:val="1"/>
          <w:iCs w:val="1"/>
          <w:color w:val="auto"/>
        </w:rPr>
        <w:t xml:space="preserve"> </w:t>
      </w:r>
      <w:r>
        <w:rPr>
          <w:rFonts w:ascii="Arial" w:cs="Arial" w:eastAsia="Arial" w:hAnsi="Arial"/>
          <w:sz w:val="16"/>
          <w:szCs w:val="16"/>
          <w:color w:val="auto"/>
        </w:rPr>
        <w:t>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38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1" w:name="page132"/>
    <w:bookmarkEnd w:id="131"/>
    <w:p>
      <w:pPr>
        <w:jc w:val="both"/>
        <w:ind w:left="644" w:hanging="644"/>
        <w:spacing w:after="0" w:line="269" w:lineRule="auto"/>
        <w:tabs>
          <w:tab w:leader="none" w:pos="644" w:val="left"/>
        </w:tabs>
        <w:numPr>
          <w:ilvl w:val="0"/>
          <w:numId w:val="149"/>
        </w:numPr>
        <w:rPr>
          <w:rFonts w:ascii="Arial" w:cs="Arial" w:eastAsia="Arial" w:hAnsi="Arial"/>
          <w:sz w:val="17"/>
          <w:szCs w:val="17"/>
          <w:color w:val="auto"/>
        </w:rPr>
      </w:pPr>
      <w:r>
        <w:rPr>
          <w:rFonts w:ascii="Arial" w:cs="Arial" w:eastAsia="Arial" w:hAnsi="Arial"/>
          <w:sz w:val="17"/>
          <w:szCs w:val="17"/>
          <w:i w:val="1"/>
          <w:iCs w:val="1"/>
          <w:u w:val="single" w:color="auto"/>
          <w:color w:val="auto"/>
        </w:rPr>
        <w:t>Early Unwind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event the sale of the [“Initial Securities”] [“Option Securities”] (as defined in the Purchase Agreement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15, 2021 (the “Purchase Agreement”), among Counterparty, BofA Securities, Inc., Wells Fargo Securities, LLC, Goldman Sachs &amp; Co. LLC and Truist Securities, Inc., as representatives of the several Initial Purchasers party thereto (the “Initial Purchasers”) is not 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78" w:lineRule="exact"/>
        <w:rPr>
          <w:rFonts w:ascii="Arial" w:cs="Arial" w:eastAsia="Arial" w:hAnsi="Arial"/>
          <w:sz w:val="17"/>
          <w:szCs w:val="17"/>
          <w:color w:val="auto"/>
        </w:rPr>
      </w:pPr>
    </w:p>
    <w:p>
      <w:pPr>
        <w:jc w:val="both"/>
        <w:ind w:left="644" w:hanging="644"/>
        <w:spacing w:after="0" w:line="275" w:lineRule="auto"/>
        <w:tabs>
          <w:tab w:leader="none" w:pos="644" w:val="left"/>
        </w:tabs>
        <w:numPr>
          <w:ilvl w:val="0"/>
          <w:numId w:val="149"/>
        </w:numPr>
        <w:rPr>
          <w:rFonts w:ascii="Arial" w:cs="Arial" w:eastAsia="Arial" w:hAnsi="Arial"/>
          <w:sz w:val="17"/>
          <w:szCs w:val="17"/>
          <w:color w:val="auto"/>
        </w:rPr>
      </w:pPr>
      <w:r>
        <w:rPr>
          <w:rFonts w:ascii="Arial" w:cs="Arial" w:eastAsia="Arial" w:hAnsi="Arial"/>
          <w:sz w:val="17"/>
          <w:szCs w:val="17"/>
          <w:i w:val="1"/>
          <w:iCs w:val="1"/>
          <w:u w:val="single" w:color="auto"/>
          <w:color w:val="auto"/>
        </w:rPr>
        <w:t>Payment by Counterparty</w:t>
      </w:r>
      <w:r>
        <w:rPr>
          <w:rFonts w:ascii="Arial" w:cs="Arial" w:eastAsia="Arial" w:hAnsi="Arial"/>
          <w:sz w:val="17"/>
          <w:szCs w:val="17"/>
          <w:color w:val="auto"/>
        </w:rPr>
        <w:t>. In the event that, following payment of the Premium, (i) an Early Termination Date occurs or is designated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76" w:lineRule="exact"/>
        <w:rPr>
          <w:rFonts w:ascii="Arial" w:cs="Arial" w:eastAsia="Arial" w:hAnsi="Arial"/>
          <w:sz w:val="17"/>
          <w:szCs w:val="17"/>
          <w:color w:val="auto"/>
        </w:rPr>
      </w:pPr>
    </w:p>
    <w:p>
      <w:pPr>
        <w:jc w:val="both"/>
        <w:ind w:left="644" w:hanging="644"/>
        <w:spacing w:after="0" w:line="257" w:lineRule="auto"/>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For the avoidance of doubt, whenever the Calculation Agent or the Determining Party is called upon to make an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or determine an amount pursuant to the terms of this Confirmation or the Equity Definitions to take into account the effect of an event, the Calculation Agent or the Determining Party, as the case may be, shall make such adjustment or determine such amount, as the case may be, by reference to the effect of such event on the Hedging Party, assuming that the Hedging Party maintains a commercially reasonable hedge position.</w:t>
      </w:r>
    </w:p>
    <w:p>
      <w:pPr>
        <w:spacing w:after="0" w:line="18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w:t>
      </w:r>
      <w:r>
        <w:rPr>
          <w:rFonts w:ascii="Arial" w:cs="Arial" w:eastAsia="Arial" w:hAnsi="Arial"/>
          <w:sz w:val="18"/>
          <w:szCs w:val="18"/>
          <w:color w:val="auto"/>
        </w:rPr>
        <w:t>. This Confirmation and the Agreement may not be modified, amended or supplemented, except in a written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signed by Counterparty and Dealer.</w:t>
      </w:r>
    </w:p>
    <w:p>
      <w:pPr>
        <w:spacing w:after="0" w:line="17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i w:val="1"/>
          <w:iCs w:val="1"/>
          <w:u w:val="single" w:color="auto"/>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149"/>
        </w:numPr>
        <w:rPr>
          <w:rFonts w:ascii="Arial" w:cs="Arial" w:eastAsia="Arial" w:hAnsi="Arial"/>
          <w:sz w:val="16"/>
          <w:szCs w:val="16"/>
          <w:color w:val="auto"/>
        </w:rPr>
      </w:pPr>
      <w:r>
        <w:rPr>
          <w:rFonts w:ascii="Arial" w:cs="Arial" w:eastAsia="Arial" w:hAnsi="Arial"/>
          <w:sz w:val="16"/>
          <w:szCs w:val="16"/>
          <w:i w:val="1"/>
          <w:iCs w:val="1"/>
          <w:u w:val="single" w:color="auto"/>
          <w:color w:val="auto"/>
        </w:rPr>
        <w:t>Payee Tax Representations</w:t>
      </w:r>
      <w:r>
        <w:rPr>
          <w:rFonts w:ascii="Arial" w:cs="Arial" w:eastAsia="Arial" w:hAnsi="Arial"/>
          <w:sz w:val="16"/>
          <w:szCs w:val="16"/>
          <w:color w:val="auto"/>
        </w:rPr>
        <w:t>. For the purpose of Section 3(f) of the Agreement, the parties make the respective representations below:</w:t>
      </w:r>
    </w:p>
    <w:p>
      <w:pPr>
        <w:spacing w:after="0" w:line="248" w:lineRule="exact"/>
        <w:rPr>
          <w:rFonts w:ascii="Arial" w:cs="Arial" w:eastAsia="Arial" w:hAnsi="Arial"/>
          <w:sz w:val="16"/>
          <w:szCs w:val="16"/>
          <w:color w:val="auto"/>
        </w:rPr>
      </w:pPr>
    </w:p>
    <w:p>
      <w:pPr>
        <w:jc w:val="both"/>
        <w:ind w:left="1304" w:right="20" w:hanging="656"/>
        <w:spacing w:after="0" w:line="286" w:lineRule="auto"/>
        <w:tabs>
          <w:tab w:leader="none" w:pos="1304" w:val="left"/>
        </w:tabs>
        <w:numPr>
          <w:ilvl w:val="1"/>
          <w:numId w:val="149"/>
        </w:numPr>
        <w:rPr>
          <w:rFonts w:ascii="Arial" w:cs="Arial" w:eastAsia="Arial" w:hAnsi="Arial"/>
          <w:sz w:val="17"/>
          <w:szCs w:val="17"/>
          <w:color w:val="auto"/>
        </w:rPr>
      </w:pPr>
      <w:r>
        <w:rPr>
          <w:rFonts w:ascii="Arial" w:cs="Arial" w:eastAsia="Arial" w:hAnsi="Arial"/>
          <w:sz w:val="17"/>
          <w:szCs w:val="17"/>
          <w:color w:val="auto"/>
        </w:rPr>
        <w:t>Counterparty represents that it is a corporation created or organized in the United States or under the laws of the United States and its U.S. taxpayer identification number is 62-0812904. It is “exempt” within the meaning of Treasury Regulation sections 1.6041-3(p) and 1.6049- 4(c) from information reporting on IRS Form 1099 and backup withholding.</w:t>
      </w:r>
    </w:p>
    <w:p>
      <w:pPr>
        <w:spacing w:after="0" w:line="165" w:lineRule="exact"/>
        <w:rPr>
          <w:rFonts w:ascii="Arial" w:cs="Arial" w:eastAsia="Arial" w:hAnsi="Arial"/>
          <w:sz w:val="17"/>
          <w:szCs w:val="17"/>
          <w:color w:val="auto"/>
        </w:rPr>
      </w:pPr>
    </w:p>
    <w:p>
      <w:pPr>
        <w:ind w:left="1304" w:hanging="656"/>
        <w:spacing w:after="0"/>
        <w:tabs>
          <w:tab w:leader="none" w:pos="130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[___]</w:t>
      </w:r>
    </w:p>
    <w:p>
      <w:pPr>
        <w:spacing w:after="0" w:line="225" w:lineRule="exact"/>
        <w:rPr>
          <w:rFonts w:ascii="Arial" w:cs="Arial" w:eastAsia="Arial" w:hAnsi="Arial"/>
          <w:sz w:val="18"/>
          <w:szCs w:val="18"/>
          <w:color w:val="auto"/>
        </w:rPr>
      </w:pPr>
    </w:p>
    <w:p>
      <w:pPr>
        <w:jc w:val="both"/>
        <w:ind w:left="644" w:hanging="644"/>
        <w:spacing w:after="0" w:line="254" w:lineRule="auto"/>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i w:val="1"/>
          <w:iCs w:val="1"/>
          <w:u w:val="single" w:color="auto"/>
          <w:color w:val="auto"/>
        </w:rPr>
        <w:t>Tax Forms</w:t>
      </w:r>
      <w:r>
        <w:rPr>
          <w:rFonts w:ascii="Arial" w:cs="Arial" w:eastAsia="Arial" w:hAnsi="Arial"/>
          <w:sz w:val="18"/>
          <w:szCs w:val="18"/>
          <w:color w:val="auto"/>
        </w:rPr>
        <w:t>. For the purpose of Section 4(a)(i) of the Agreement, Dealer shall provide to Counterparty a valid U.S.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Form [W-9][W-9/W-8], or any successor thereto, (i) on or before the date of execution of this Confirmation, (ii) promptly upon reasonable demand by Counterparty and (iii) promptly upon learning that any such tax form previously provided by Dealer has become obsolete or incorrect. For the purpose of Section 4(a)(i) of the Agreement, Counterparty shall provide to Dealer a valid U.S. Internal Revenue Service Form W-9, or any successor thereto, (i) on or before the date of execution of this Confirmation, (ii) promptly upon reasonable demand by Dealer and (iii) promptly upon learning that any such tax form previously provided by Counterparty has become obsolete or incorrect.</w:t>
      </w: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2" w:name="page133"/>
    <w:bookmarkEnd w:id="132"/>
    <w:p>
      <w:pPr>
        <w:jc w:val="both"/>
        <w:ind w:left="644" w:hanging="644"/>
        <w:spacing w:after="0" w:line="293" w:lineRule="auto"/>
        <w:tabs>
          <w:tab w:leader="none" w:pos="644" w:val="left"/>
        </w:tabs>
        <w:numPr>
          <w:ilvl w:val="0"/>
          <w:numId w:val="150"/>
        </w:numPr>
        <w:rPr>
          <w:rFonts w:ascii="Arial" w:cs="Arial" w:eastAsia="Arial" w:hAnsi="Arial"/>
          <w:sz w:val="16"/>
          <w:szCs w:val="16"/>
          <w:color w:val="auto"/>
        </w:rPr>
      </w:pPr>
      <w:r>
        <w:rPr>
          <w:rFonts w:ascii="Arial" w:cs="Arial" w:eastAsia="Arial" w:hAnsi="Arial"/>
          <w:sz w:val="16"/>
          <w:szCs w:val="16"/>
          <w:i w:val="1"/>
          <w:iCs w:val="1"/>
          <w:u w:val="single" w:color="auto"/>
          <w:color w:val="auto"/>
        </w:rPr>
        <w:t>United States Foreign Account Tax Compliance Act</w:t>
      </w:r>
      <w:r>
        <w:rPr>
          <w:rFonts w:ascii="Arial" w:cs="Arial" w:eastAsia="Arial" w:hAnsi="Arial"/>
          <w:sz w:val="16"/>
          <w:szCs w:val="16"/>
          <w:color w:val="auto"/>
        </w:rPr>
        <w:t>. “Tax” and “Indemnifiable Tax”, each as defined in Section 14 of the Master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shall not include any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64" w:lineRule="exact"/>
        <w:rPr>
          <w:sz w:val="20"/>
          <w:szCs w:val="20"/>
          <w:color w:val="auto"/>
        </w:rPr>
      </w:pPr>
    </w:p>
    <w:p>
      <w:pPr>
        <w:jc w:val="both"/>
        <w:ind w:left="644" w:hanging="644"/>
        <w:spacing w:after="0" w:line="263" w:lineRule="auto"/>
        <w:tabs>
          <w:tab w:leader="none" w:pos="644" w:val="left"/>
        </w:tabs>
        <w:numPr>
          <w:ilvl w:val="0"/>
          <w:numId w:val="151"/>
        </w:numPr>
        <w:rPr>
          <w:rFonts w:ascii="Arial" w:cs="Arial" w:eastAsia="Arial" w:hAnsi="Arial"/>
          <w:sz w:val="18"/>
          <w:szCs w:val="18"/>
          <w:color w:val="auto"/>
        </w:rPr>
      </w:pPr>
      <w:r>
        <w:rPr>
          <w:rFonts w:ascii="Arial" w:cs="Arial" w:eastAsia="Arial" w:hAnsi="Arial"/>
          <w:sz w:val="18"/>
          <w:szCs w:val="18"/>
          <w:i w:val="1"/>
          <w:iCs w:val="1"/>
          <w:u w:val="single" w:color="auto"/>
          <w:color w:val="auto"/>
        </w:rPr>
        <w:t>HIRE Act</w:t>
      </w:r>
      <w:r>
        <w:rPr>
          <w:rFonts w:ascii="Arial" w:cs="Arial" w:eastAsia="Arial" w:hAnsi="Arial"/>
          <w:sz w:val="18"/>
          <w:szCs w:val="18"/>
          <w:color w:val="auto"/>
        </w:rPr>
        <w:t>. “Tax” and “Indemnifiable Tax”, each as defined in Section 14 of the Agreement, shall not include any tax imposed 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treated as dividends from sources within the United States under Section 871(m) of the Code or any regulations issued thereunder.</w:t>
      </w:r>
    </w:p>
    <w:p>
      <w:pPr>
        <w:spacing w:after="0" w:line="184" w:lineRule="exact"/>
        <w:rPr>
          <w:sz w:val="20"/>
          <w:szCs w:val="20"/>
          <w:color w:val="auto"/>
        </w:rPr>
      </w:pPr>
    </w:p>
    <w:p>
      <w:pPr>
        <w:jc w:val="both"/>
        <w:ind w:left="644" w:hanging="644"/>
        <w:spacing w:after="0" w:line="283" w:lineRule="auto"/>
        <w:tabs>
          <w:tab w:leader="none" w:pos="644"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Financial Assistance.</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Counterparty acknowledges that the Transaction may constitute a purchase of its equity securities or a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Counterparty further acknowledges that, pursuant to the provisions of the Coronavirus Aid, Relief and Economic Security Act (the “</w:t>
      </w:r>
      <w:r>
        <w:rPr>
          <w:rFonts w:ascii="Arial" w:cs="Arial" w:eastAsia="Arial" w:hAnsi="Arial"/>
          <w:sz w:val="16"/>
          <w:szCs w:val="16"/>
          <w:b w:val="1"/>
          <w:bCs w:val="1"/>
          <w:color w:val="auto"/>
        </w:rPr>
        <w:t>CARES Act</w:t>
      </w:r>
      <w:r>
        <w:rPr>
          <w:rFonts w:ascii="Arial" w:cs="Arial" w:eastAsia="Arial" w:hAnsi="Arial"/>
          <w:sz w:val="16"/>
          <w:szCs w:val="16"/>
          <w:color w:val="auto"/>
        </w:rPr>
        <w:t>”), the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Accordingly, Counterparty represents and warrants that neither it nor any of its subsidiaries has applied for, and throughout the term of the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or any of its subsidiaries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(collectively, “</w:t>
      </w:r>
      <w:r>
        <w:rPr>
          <w:rFonts w:ascii="Arial" w:cs="Arial" w:eastAsia="Arial" w:hAnsi="Arial"/>
          <w:sz w:val="16"/>
          <w:szCs w:val="16"/>
          <w:b w:val="1"/>
          <w:bCs w:val="1"/>
          <w:color w:val="auto"/>
        </w:rPr>
        <w:t>Restricted Financial Assistance</w:t>
      </w:r>
      <w:r>
        <w:rPr>
          <w:rFonts w:ascii="Arial" w:cs="Arial" w:eastAsia="Arial" w:hAnsi="Arial"/>
          <w:sz w:val="16"/>
          <w:szCs w:val="16"/>
          <w:color w:val="auto"/>
        </w:rPr>
        <w:t>”); provided that Counterparty may apply for Restricted Financial Assistance if Counterparty either (a) determines, based on the advice of outside counsel of national standing, that the terms of the Transaction would not cause Counterparty to fail to satisfy any condition for application for or receipt or retention of such loan, loan guarantee, direct loan (as that term is defined in the CARES Act), investment, financial assistance or relief based on the terms of the program or facility as of the date of such advice or (b) delivers to Dealer evidence of a waiver or other guidance from a governmental authority with jurisdiction for such program or facility that the Transaction is permitted under such program or facility (either by specific reference to the Transaction or by general reference to transactions with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w:t>
      </w:r>
      <w:r>
        <w:rPr>
          <w:rFonts w:ascii="Arial" w:cs="Arial" w:eastAsia="Arial" w:hAnsi="Arial"/>
          <w:sz w:val="16"/>
          <w:szCs w:val="16"/>
          <w:b w:val="1"/>
          <w:bCs w:val="1"/>
          <w:color w:val="auto"/>
        </w:rPr>
        <w:t>Paycheck Protection</w:t>
      </w:r>
      <w:r>
        <w:rPr>
          <w:rFonts w:ascii="Arial" w:cs="Arial" w:eastAsia="Arial" w:hAnsi="Arial"/>
          <w:sz w:val="16"/>
          <w:szCs w:val="16"/>
          <w:color w:val="auto"/>
        </w:rPr>
        <w:t xml:space="preserve"> </w:t>
      </w:r>
      <w:r>
        <w:rPr>
          <w:rFonts w:ascii="Arial" w:cs="Arial" w:eastAsia="Arial" w:hAnsi="Arial"/>
          <w:sz w:val="16"/>
          <w:szCs w:val="16"/>
          <w:b w:val="1"/>
          <w:bCs w:val="1"/>
          <w:color w:val="auto"/>
        </w:rPr>
        <w:t>Program</w:t>
      </w:r>
      <w:r>
        <w:rPr>
          <w:rFonts w:ascii="Arial" w:cs="Arial" w:eastAsia="Arial" w:hAnsi="Arial"/>
          <w:sz w:val="16"/>
          <w:szCs w:val="16"/>
          <w:color w:val="auto"/>
        </w:rPr>
        <w:t>”, that (a) is established under applicable law (whether in existence as of the Trade Date or subsequently enacted, adopted or</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3" w:name="page134"/>
    <w:bookmarkEnd w:id="133"/>
    <w:p>
      <w:pPr>
        <w:ind w:left="1300" w:hanging="644"/>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i w:val="1"/>
          <w:iCs w:val="1"/>
          <w:u w:val="single" w:color="auto"/>
          <w:color w:val="auto"/>
        </w:rPr>
        <w:t>[Insert Dealer Boilerplate &amp; QFC]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confirm that the foregoing correctly sets forth the terms of our agreement by executing this Confirmation and returning it to Dealer.</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[DEALER]</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908" w:right="9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[Dealer Address]</w:t>
      </w:r>
    </w:p>
    <w:p>
      <w:pPr>
        <w:spacing w:after="0" w:line="22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[June 15][June 16], 2021</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Cracker Barrel Old Country Store,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305 Hartmann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787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 Tennessee 37088-0787</w:t>
      </w:r>
    </w:p>
    <w:p>
      <w:pPr>
        <w:spacing w:after="0" w:line="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[______]</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[______]</w:t>
      </w:r>
    </w:p>
    <w:p>
      <w:pPr>
        <w:spacing w:after="0" w:line="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[______]</w:t>
      </w:r>
    </w:p>
    <w:p>
      <w:pPr>
        <w:spacing w:after="0" w:line="200" w:lineRule="exact"/>
        <w:rPr>
          <w:sz w:val="20"/>
          <w:szCs w:val="20"/>
          <w:color w:val="auto"/>
        </w:rPr>
      </w:pPr>
    </w:p>
    <w:p>
      <w:pPr>
        <w:sectPr>
          <w:pgSz w:w="11900" w:h="16838" w:orient="portrait"/>
          <w:cols w:equalWidth="0" w:num="2">
            <w:col w:w="240" w:space="420"/>
            <w:col w:w="10580"/>
          </w:cols>
          <w:pgMar w:left="320" w:top="337" w:right="3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[Base][Additional] Warrants</w:t>
      </w:r>
    </w:p>
    <w:p>
      <w:pPr>
        <w:spacing w:after="0" w:line="200" w:lineRule="exact"/>
        <w:rPr>
          <w:sz w:val="20"/>
          <w:szCs w:val="20"/>
          <w:color w:val="auto"/>
        </w:rPr>
      </w:pPr>
    </w:p>
    <w:p>
      <w:pPr>
        <w:sectPr>
          <w:pgSz w:w="11900" w:h="16838" w:orient="portrait"/>
          <w:cols w:equalWidth="0" w:num="2">
            <w:col w:w="260" w:space="500"/>
            <w:col w:w="10480"/>
          </w:cols>
          <w:pgMar w:left="320" w:top="337" w:right="339" w:bottom="1440" w:gutter="0" w:footer="0" w:header="0"/>
          <w:type w:val="continuous"/>
        </w:sectPr>
      </w:pPr>
    </w:p>
    <w:p>
      <w:pPr>
        <w:spacing w:after="0" w:line="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purpose of this letter agreement (this “</w:t>
      </w:r>
      <w:r>
        <w:rPr>
          <w:rFonts w:ascii="Arial" w:cs="Arial" w:eastAsia="Arial" w:hAnsi="Arial"/>
          <w:sz w:val="18"/>
          <w:szCs w:val="18"/>
          <w:b w:val="1"/>
          <w:bCs w:val="1"/>
          <w:color w:val="auto"/>
        </w:rPr>
        <w:t>Confirmation</w:t>
      </w:r>
      <w:r>
        <w:rPr>
          <w:rFonts w:ascii="Arial" w:cs="Arial" w:eastAsia="Arial" w:hAnsi="Arial"/>
          <w:sz w:val="18"/>
          <w:szCs w:val="18"/>
          <w:color w:val="auto"/>
        </w:rPr>
        <w:t>”) is to confirm the terms and conditions of the Warrants issued by Cracker Barrel Old Country Store, Inc. (“</w:t>
      </w:r>
      <w:r>
        <w:rPr>
          <w:rFonts w:ascii="Arial" w:cs="Arial" w:eastAsia="Arial" w:hAnsi="Arial"/>
          <w:sz w:val="18"/>
          <w:szCs w:val="18"/>
          <w:b w:val="1"/>
          <w:bCs w:val="1"/>
          <w:color w:val="auto"/>
        </w:rPr>
        <w:t>Company</w:t>
      </w:r>
      <w:r>
        <w:rPr>
          <w:rFonts w:ascii="Arial" w:cs="Arial" w:eastAsia="Arial" w:hAnsi="Arial"/>
          <w:sz w:val="18"/>
          <w:szCs w:val="18"/>
          <w:color w:val="auto"/>
        </w:rPr>
        <w:t>”) to [Dealer] (“</w:t>
      </w:r>
      <w:r>
        <w:rPr>
          <w:rFonts w:ascii="Arial" w:cs="Arial" w:eastAsia="Arial" w:hAnsi="Arial"/>
          <w:sz w:val="18"/>
          <w:szCs w:val="18"/>
          <w:b w:val="1"/>
          <w:bCs w:val="1"/>
          <w:color w:val="auto"/>
        </w:rPr>
        <w:t>Dealer</w:t>
      </w:r>
      <w:r>
        <w:rPr>
          <w:rFonts w:ascii="Arial" w:cs="Arial" w:eastAsia="Arial" w:hAnsi="Arial"/>
          <w:sz w:val="18"/>
          <w:szCs w:val="18"/>
          <w:color w:val="auto"/>
        </w:rPr>
        <w:t>”) as of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letter agreement constitutes a “Confirmation” as referred to in the ISDA Master Agreement specified below. Each party further agrees that this Confirmation together with the Agreement evidence a complete binding agreement between Company and Dealer as to the subject matter and terms of the Transaction to which this Confirmation relates, and shall supersede all prior or contemporaneous written or oral communications with respect thereto.</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are incorporated into this Confirmation. In the event of any inconsistency between the Equity Definitions and this Confirmation, this Confirmation shall govern.</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4" w:lineRule="exact"/>
        <w:rPr>
          <w:sz w:val="20"/>
          <w:szCs w:val="20"/>
          <w:color w:val="auto"/>
        </w:rPr>
      </w:pPr>
    </w:p>
    <w:p>
      <w:pPr>
        <w:jc w:val="both"/>
        <w:ind w:firstLine="8"/>
        <w:spacing w:after="0" w:line="293" w:lineRule="auto"/>
        <w:tabs>
          <w:tab w:leader="none" w:pos="98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ISDA 2002 Master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that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64" w:lineRule="exact"/>
        <w:rPr>
          <w:rFonts w:ascii="Arial" w:cs="Arial" w:eastAsia="Arial" w:hAnsi="Arial"/>
          <w:sz w:val="16"/>
          <w:szCs w:val="16"/>
          <w:color w:val="auto"/>
        </w:rPr>
      </w:pPr>
    </w:p>
    <w:p>
      <w:pPr>
        <w:ind w:firstLine="8"/>
        <w:spacing w:after="0" w:line="277" w:lineRule="auto"/>
        <w:tabs>
          <w:tab w:leader="none" w:pos="107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p>
        </w:tc>
        <w:tc>
          <w:tcPr>
            <w:tcW w:w="840" w:type="dxa"/>
            <w:vAlign w:val="bottom"/>
          </w:tcPr>
          <w:p>
            <w:pPr>
              <w:spacing w:after="0"/>
              <w:rPr>
                <w:sz w:val="18"/>
                <w:szCs w:val="18"/>
                <w:color w:val="auto"/>
              </w:rPr>
            </w:pPr>
          </w:p>
        </w:tc>
        <w:tc>
          <w:tcPr>
            <w:tcW w:w="61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Trade Date:</w:t>
            </w:r>
          </w:p>
        </w:tc>
        <w:tc>
          <w:tcPr>
            <w:tcW w:w="7020" w:type="dxa"/>
            <w:vAlign w:val="bottom"/>
            <w:gridSpan w:val="2"/>
          </w:tcPr>
          <w:p>
            <w:pPr>
              <w:spacing w:after="0"/>
              <w:rPr>
                <w:sz w:val="20"/>
                <w:szCs w:val="20"/>
                <w:color w:val="auto"/>
              </w:rPr>
            </w:pPr>
            <w:r>
              <w:rPr>
                <w:rFonts w:ascii="Arial" w:cs="Arial" w:eastAsia="Arial" w:hAnsi="Arial"/>
                <w:sz w:val="18"/>
                <w:szCs w:val="18"/>
                <w:color w:val="auto"/>
              </w:rPr>
              <w:t>[June 15][June 16], 2021</w:t>
            </w:r>
          </w:p>
        </w:tc>
      </w:tr>
      <w:tr>
        <w:trPr>
          <w:trHeight w:val="418"/>
        </w:trPr>
        <w:tc>
          <w:tcPr>
            <w:tcW w:w="660" w:type="dxa"/>
            <w:vAlign w:val="bottom"/>
          </w:tcPr>
          <w:p>
            <w:pPr>
              <w:spacing w:after="0"/>
              <w:rPr>
                <w:sz w:val="24"/>
                <w:szCs w:val="24"/>
                <w:color w:val="auto"/>
              </w:rPr>
            </w:pP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Effective Date:</w:t>
            </w:r>
          </w:p>
        </w:tc>
        <w:tc>
          <w:tcPr>
            <w:tcW w:w="7020" w:type="dxa"/>
            <w:vAlign w:val="bottom"/>
            <w:gridSpan w:val="2"/>
          </w:tcPr>
          <w:p>
            <w:pPr>
              <w:spacing w:after="0"/>
              <w:rPr>
                <w:sz w:val="20"/>
                <w:szCs w:val="20"/>
                <w:color w:val="auto"/>
              </w:rPr>
            </w:pPr>
            <w:r>
              <w:rPr>
                <w:rFonts w:ascii="Arial" w:cs="Arial" w:eastAsia="Arial" w:hAnsi="Arial"/>
                <w:sz w:val="18"/>
                <w:szCs w:val="18"/>
                <w:color w:val="auto"/>
                <w:w w:val="90"/>
              </w:rPr>
              <w:t>The second Exchange Business Day immediately prior to the Premium Payment Date, subject to</w:t>
            </w:r>
          </w:p>
        </w:tc>
      </w:tr>
      <w:tr>
        <w:trPr>
          <w:trHeight w:val="190"/>
        </w:trPr>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020" w:type="dxa"/>
            <w:vAlign w:val="bottom"/>
            <w:gridSpan w:val="2"/>
          </w:tcPr>
          <w:p>
            <w:pPr>
              <w:spacing w:after="0" w:line="190" w:lineRule="exact"/>
              <w:rPr>
                <w:sz w:val="20"/>
                <w:szCs w:val="20"/>
                <w:color w:val="auto"/>
              </w:rPr>
            </w:pPr>
            <w:r>
              <w:rPr>
                <w:rFonts w:ascii="Arial" w:cs="Arial" w:eastAsia="Arial" w:hAnsi="Arial"/>
                <w:sz w:val="18"/>
                <w:szCs w:val="18"/>
                <w:color w:val="auto"/>
              </w:rPr>
              <w:t>Section 9(t).</w:t>
            </w:r>
          </w:p>
        </w:tc>
      </w:tr>
      <w:tr>
        <w:trPr>
          <w:trHeight w:val="20"/>
        </w:trPr>
        <w:tc>
          <w:tcPr>
            <w:tcW w:w="6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438"/>
        </w:trPr>
        <w:tc>
          <w:tcPr>
            <w:tcW w:w="660" w:type="dxa"/>
            <w:vAlign w:val="bottom"/>
          </w:tcPr>
          <w:p>
            <w:pPr>
              <w:spacing w:after="0"/>
              <w:rPr>
                <w:sz w:val="24"/>
                <w:szCs w:val="24"/>
                <w:color w:val="auto"/>
              </w:rPr>
            </w:pP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Warrants:</w:t>
            </w:r>
          </w:p>
        </w:tc>
        <w:tc>
          <w:tcPr>
            <w:tcW w:w="7020" w:type="dxa"/>
            <w:vAlign w:val="bottom"/>
            <w:gridSpan w:val="2"/>
          </w:tcPr>
          <w:p>
            <w:pPr>
              <w:spacing w:after="0"/>
              <w:rPr>
                <w:sz w:val="20"/>
                <w:szCs w:val="20"/>
                <w:color w:val="auto"/>
              </w:rPr>
            </w:pPr>
            <w:r>
              <w:rPr>
                <w:rFonts w:ascii="Arial" w:cs="Arial" w:eastAsia="Arial" w:hAnsi="Arial"/>
                <w:sz w:val="18"/>
                <w:szCs w:val="18"/>
                <w:color w:val="auto"/>
                <w:w w:val="90"/>
              </w:rPr>
              <w:t>Equity call warrants, each giving the holder the right to purchase a number of Shares equal to the</w:t>
            </w:r>
          </w:p>
        </w:tc>
      </w:tr>
      <w:tr>
        <w:trPr>
          <w:trHeight w:val="216"/>
        </w:trPr>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2"/>
              </w:rPr>
              <w:t>Warrant Entitlement at a price per Share equal to the Strike Price, subject to the terms set forth</w:t>
            </w:r>
          </w:p>
        </w:tc>
      </w:tr>
      <w:tr>
        <w:trPr>
          <w:trHeight w:val="216"/>
        </w:trPr>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4"/>
              </w:rPr>
              <w:t>under the caption “Settlement Terms” below. For the purposes of the Equity Definitions, each</w:t>
            </w:r>
          </w:p>
        </w:tc>
      </w:tr>
      <w:tr>
        <w:trPr>
          <w:trHeight w:val="230"/>
        </w:trPr>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reference to a Warrant herein shall be deemed to be a reference to a Call Option.</w:t>
            </w:r>
          </w:p>
        </w:tc>
      </w:tr>
      <w:tr>
        <w:trPr>
          <w:trHeight w:val="675"/>
        </w:trPr>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type w:val="continuous"/>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Warrant Style:</w:t>
            </w:r>
          </w:p>
        </w:tc>
        <w:tc>
          <w:tcPr>
            <w:tcW w:w="7760" w:type="dxa"/>
            <w:vAlign w:val="bottom"/>
          </w:tcPr>
          <w:p>
            <w:pPr>
              <w:ind w:left="740"/>
              <w:spacing w:after="0"/>
              <w:rPr>
                <w:sz w:val="20"/>
                <w:szCs w:val="20"/>
                <w:color w:val="auto"/>
              </w:rPr>
            </w:pPr>
            <w:r>
              <w:rPr>
                <w:rFonts w:ascii="Arial" w:cs="Arial" w:eastAsia="Arial" w:hAnsi="Arial"/>
                <w:sz w:val="18"/>
                <w:szCs w:val="18"/>
                <w:color w:val="auto"/>
              </w:rPr>
              <w:t>European</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Seller:</w:t>
            </w:r>
          </w:p>
        </w:tc>
        <w:tc>
          <w:tcPr>
            <w:tcW w:w="7760" w:type="dxa"/>
            <w:vAlign w:val="bottom"/>
          </w:tcPr>
          <w:p>
            <w:pPr>
              <w:ind w:left="740"/>
              <w:spacing w:after="0"/>
              <w:rPr>
                <w:sz w:val="20"/>
                <w:szCs w:val="20"/>
                <w:color w:val="auto"/>
              </w:rPr>
            </w:pPr>
            <w:r>
              <w:rPr>
                <w:rFonts w:ascii="Arial" w:cs="Arial" w:eastAsia="Arial" w:hAnsi="Arial"/>
                <w:sz w:val="18"/>
                <w:szCs w:val="18"/>
                <w:color w:val="auto"/>
              </w:rPr>
              <w:t>Company</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Buyer:</w:t>
            </w:r>
          </w:p>
        </w:tc>
        <w:tc>
          <w:tcPr>
            <w:tcW w:w="7760" w:type="dxa"/>
            <w:vAlign w:val="bottom"/>
          </w:tcPr>
          <w:p>
            <w:pPr>
              <w:ind w:left="740"/>
              <w:spacing w:after="0"/>
              <w:rPr>
                <w:sz w:val="20"/>
                <w:szCs w:val="20"/>
                <w:color w:val="auto"/>
              </w:rPr>
            </w:pPr>
            <w:r>
              <w:rPr>
                <w:rFonts w:ascii="Arial" w:cs="Arial" w:eastAsia="Arial" w:hAnsi="Arial"/>
                <w:sz w:val="18"/>
                <w:szCs w:val="18"/>
                <w:color w:val="auto"/>
              </w:rPr>
              <w:t>Dealer</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7760" w:type="dxa"/>
            <w:vAlign w:val="bottom"/>
          </w:tcPr>
          <w:p>
            <w:pPr>
              <w:ind w:left="740"/>
              <w:spacing w:after="0"/>
              <w:rPr>
                <w:sz w:val="20"/>
                <w:szCs w:val="20"/>
                <w:color w:val="auto"/>
              </w:rPr>
            </w:pPr>
            <w:r>
              <w:rPr>
                <w:rFonts w:ascii="Arial" w:cs="Arial" w:eastAsia="Arial" w:hAnsi="Arial"/>
                <w:sz w:val="18"/>
                <w:szCs w:val="18"/>
                <w:color w:val="auto"/>
                <w:w w:val="96"/>
              </w:rPr>
              <w:t>The common stock of Company, par value USD 0.01 per share (Exchange symbol “CBRL”)</w:t>
            </w:r>
          </w:p>
        </w:tc>
      </w:tr>
      <w:tr>
        <w:trPr>
          <w:trHeight w:val="418"/>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Number of Warrants:</w:t>
            </w:r>
          </w:p>
        </w:tc>
        <w:tc>
          <w:tcPr>
            <w:tcW w:w="7760" w:type="dxa"/>
            <w:vAlign w:val="bottom"/>
          </w:tcPr>
          <w:p>
            <w:pPr>
              <w:ind w:left="740"/>
              <w:spacing w:after="0"/>
              <w:rPr>
                <w:sz w:val="20"/>
                <w:szCs w:val="20"/>
                <w:color w:val="auto"/>
              </w:rPr>
            </w:pPr>
            <w:r>
              <w:rPr>
                <w:rFonts w:ascii="Arial" w:cs="Arial" w:eastAsia="Arial" w:hAnsi="Arial"/>
                <w:sz w:val="18"/>
                <w:szCs w:val="18"/>
                <w:color w:val="auto"/>
                <w:w w:val="99"/>
              </w:rPr>
              <w:t>[_______]. For the avoidance of doubt, the Number of Warrants shall be reduced by any</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1"/>
              </w:rPr>
              <w:t>Warrants exercised or deemed exercised hereunder. In no event will the Number of Warrants be</w:t>
            </w:r>
          </w:p>
        </w:tc>
      </w:tr>
      <w:tr>
        <w:trPr>
          <w:trHeight w:val="230"/>
        </w:trPr>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rPr>
              <w:t>less than zero.</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Warrant Entitlement:</w:t>
            </w:r>
          </w:p>
        </w:tc>
        <w:tc>
          <w:tcPr>
            <w:tcW w:w="7760" w:type="dxa"/>
            <w:vAlign w:val="bottom"/>
          </w:tcPr>
          <w:p>
            <w:pPr>
              <w:ind w:left="740"/>
              <w:spacing w:after="0"/>
              <w:rPr>
                <w:sz w:val="20"/>
                <w:szCs w:val="20"/>
                <w:color w:val="auto"/>
              </w:rPr>
            </w:pPr>
            <w:r>
              <w:rPr>
                <w:rFonts w:ascii="Arial" w:cs="Arial" w:eastAsia="Arial" w:hAnsi="Arial"/>
                <w:sz w:val="18"/>
                <w:szCs w:val="18"/>
                <w:color w:val="auto"/>
              </w:rPr>
              <w:t>One Share per Warrant</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Strike Price:</w:t>
            </w:r>
          </w:p>
        </w:tc>
        <w:tc>
          <w:tcPr>
            <w:tcW w:w="7760" w:type="dxa"/>
            <w:vAlign w:val="bottom"/>
          </w:tcPr>
          <w:p>
            <w:pPr>
              <w:ind w:left="740"/>
              <w:spacing w:after="0"/>
              <w:rPr>
                <w:sz w:val="20"/>
                <w:szCs w:val="20"/>
                <w:color w:val="auto"/>
              </w:rPr>
            </w:pPr>
            <w:r>
              <w:rPr>
                <w:rFonts w:ascii="Arial" w:cs="Arial" w:eastAsia="Arial" w:hAnsi="Arial"/>
                <w:sz w:val="18"/>
                <w:szCs w:val="18"/>
                <w:color w:val="auto"/>
              </w:rPr>
              <w:t>USD 263.3925.</w:t>
            </w:r>
          </w:p>
        </w:tc>
      </w:tr>
      <w:tr>
        <w:trPr>
          <w:trHeight w:val="418"/>
        </w:trPr>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7"/>
              </w:rPr>
              <w:t>Notwithstanding anything to the contrary in the Agreement, this Confirmation or the Equity</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5"/>
              </w:rPr>
              <w:t>Definitions, in no event shall the Strike Price be subject to adjustment to the extent that, after</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1"/>
              </w:rPr>
              <w:t>giving effect to such adjustment, the Strike Price would be less than USD 150.51, except for any</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4"/>
              </w:rPr>
              <w:t>adjustment pursuant to the terms of this Confirmation and the Equity Definitions in connection</w:t>
            </w:r>
          </w:p>
        </w:tc>
      </w:tr>
      <w:tr>
        <w:trPr>
          <w:trHeight w:val="230"/>
        </w:trPr>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rPr>
              <w:t>with stock splits or similar changes to Company’s capitalization.</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Premium:</w:t>
            </w:r>
          </w:p>
        </w:tc>
        <w:tc>
          <w:tcPr>
            <w:tcW w:w="7760" w:type="dxa"/>
            <w:vAlign w:val="bottom"/>
          </w:tcPr>
          <w:p>
            <w:pPr>
              <w:ind w:left="740"/>
              <w:spacing w:after="0"/>
              <w:rPr>
                <w:sz w:val="20"/>
                <w:szCs w:val="20"/>
                <w:color w:val="auto"/>
              </w:rPr>
            </w:pPr>
            <w:r>
              <w:rPr>
                <w:rFonts w:ascii="Arial" w:cs="Arial" w:eastAsia="Arial" w:hAnsi="Arial"/>
                <w:sz w:val="18"/>
                <w:szCs w:val="18"/>
                <w:color w:val="auto"/>
              </w:rPr>
              <w:t>USD [______]</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Premium Payment Date:</w:t>
            </w:r>
          </w:p>
        </w:tc>
        <w:tc>
          <w:tcPr>
            <w:tcW w:w="7760" w:type="dxa"/>
            <w:vAlign w:val="bottom"/>
          </w:tcPr>
          <w:p>
            <w:pPr>
              <w:ind w:left="740"/>
              <w:spacing w:after="0"/>
              <w:rPr>
                <w:sz w:val="20"/>
                <w:szCs w:val="20"/>
                <w:color w:val="auto"/>
              </w:rPr>
            </w:pPr>
            <w:r>
              <w:rPr>
                <w:rFonts w:ascii="Arial" w:cs="Arial" w:eastAsia="Arial" w:hAnsi="Arial"/>
                <w:sz w:val="18"/>
                <w:szCs w:val="18"/>
                <w:color w:val="auto"/>
              </w:rPr>
              <w:t>June 18, 2021</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Exchange:</w:t>
            </w:r>
          </w:p>
        </w:tc>
        <w:tc>
          <w:tcPr>
            <w:tcW w:w="7760" w:type="dxa"/>
            <w:vAlign w:val="bottom"/>
          </w:tcPr>
          <w:p>
            <w:pPr>
              <w:ind w:left="740"/>
              <w:spacing w:after="0"/>
              <w:rPr>
                <w:sz w:val="20"/>
                <w:szCs w:val="20"/>
                <w:color w:val="auto"/>
              </w:rPr>
            </w:pPr>
            <w:r>
              <w:rPr>
                <w:rFonts w:ascii="Arial" w:cs="Arial" w:eastAsia="Arial" w:hAnsi="Arial"/>
                <w:sz w:val="18"/>
                <w:szCs w:val="18"/>
                <w:color w:val="auto"/>
              </w:rPr>
              <w:t>The Nasdaq Global Select Market</w:t>
            </w:r>
          </w:p>
        </w:tc>
      </w:tr>
      <w:tr>
        <w:trPr>
          <w:trHeight w:val="432"/>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Related Exchange(s):</w:t>
            </w:r>
          </w:p>
        </w:tc>
        <w:tc>
          <w:tcPr>
            <w:tcW w:w="7760" w:type="dxa"/>
            <w:vAlign w:val="bottom"/>
          </w:tcPr>
          <w:p>
            <w:pPr>
              <w:ind w:left="740"/>
              <w:spacing w:after="0"/>
              <w:rPr>
                <w:sz w:val="20"/>
                <w:szCs w:val="20"/>
                <w:color w:val="auto"/>
              </w:rPr>
            </w:pPr>
            <w:r>
              <w:rPr>
                <w:rFonts w:ascii="Arial" w:cs="Arial" w:eastAsia="Arial" w:hAnsi="Arial"/>
                <w:sz w:val="18"/>
                <w:szCs w:val="18"/>
                <w:color w:val="auto"/>
              </w:rPr>
              <w:t>All Exchanges</w:t>
            </w:r>
          </w:p>
        </w:tc>
      </w:tr>
      <w:tr>
        <w:trPr>
          <w:trHeight w:val="391"/>
        </w:trPr>
        <w:tc>
          <w:tcPr>
            <w:tcW w:w="7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i w:val="1"/>
                <w:iCs w:val="1"/>
                <w:color w:val="auto"/>
              </w:rPr>
              <w:t>Procedures for Exercise.</w:t>
            </w:r>
          </w:p>
        </w:tc>
        <w:tc>
          <w:tcPr>
            <w:tcW w:w="7760" w:type="dxa"/>
            <w:vAlign w:val="bottom"/>
          </w:tcPr>
          <w:p>
            <w:pPr>
              <w:spacing w:after="0"/>
              <w:rPr>
                <w:sz w:val="24"/>
                <w:szCs w:val="24"/>
                <w:color w:val="auto"/>
              </w:rPr>
            </w:pPr>
          </w:p>
        </w:tc>
      </w:tr>
      <w:tr>
        <w:trPr>
          <w:trHeight w:val="453"/>
        </w:trPr>
        <w:tc>
          <w:tcPr>
            <w:tcW w:w="700" w:type="dxa"/>
            <w:vAlign w:val="bottom"/>
          </w:tcPr>
          <w:p>
            <w:pPr>
              <w:spacing w:after="0"/>
              <w:rPr>
                <w:sz w:val="24"/>
                <w:szCs w:val="24"/>
                <w:color w:val="auto"/>
              </w:rPr>
            </w:pPr>
          </w:p>
        </w:tc>
        <w:tc>
          <w:tcPr>
            <w:tcW w:w="1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Expiration Time:</w:t>
            </w:r>
          </w:p>
        </w:tc>
        <w:tc>
          <w:tcPr>
            <w:tcW w:w="1000" w:type="dxa"/>
            <w:vAlign w:val="bottom"/>
          </w:tcPr>
          <w:p>
            <w:pPr>
              <w:spacing w:after="0"/>
              <w:rPr>
                <w:sz w:val="24"/>
                <w:szCs w:val="24"/>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rPr>
              <w:t>The Valuation Time</w:t>
            </w:r>
          </w:p>
        </w:tc>
      </w:tr>
      <w:tr>
        <w:trPr>
          <w:trHeight w:val="421"/>
        </w:trPr>
        <w:tc>
          <w:tcPr>
            <w:tcW w:w="700" w:type="dxa"/>
            <w:vAlign w:val="bottom"/>
          </w:tcPr>
          <w:p>
            <w:pPr>
              <w:spacing w:after="0"/>
              <w:rPr>
                <w:sz w:val="24"/>
                <w:szCs w:val="24"/>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Expiration Dates:</w:t>
            </w:r>
          </w:p>
        </w:tc>
        <w:tc>
          <w:tcPr>
            <w:tcW w:w="7760" w:type="dxa"/>
            <w:vAlign w:val="bottom"/>
          </w:tcPr>
          <w:p>
            <w:pPr>
              <w:ind w:left="740"/>
              <w:spacing w:after="0"/>
              <w:rPr>
                <w:sz w:val="20"/>
                <w:szCs w:val="20"/>
                <w:color w:val="auto"/>
              </w:rPr>
            </w:pPr>
            <w:r>
              <w:rPr>
                <w:rFonts w:ascii="Arial" w:cs="Arial" w:eastAsia="Arial" w:hAnsi="Arial"/>
                <w:sz w:val="18"/>
                <w:szCs w:val="18"/>
                <w:color w:val="auto"/>
                <w:w w:val="92"/>
              </w:rPr>
              <w:t>Each Scheduled Trading Day during the period from, and including, the First Expiration Date to,</w:t>
            </w:r>
          </w:p>
        </w:tc>
      </w:tr>
      <w:tr>
        <w:trPr>
          <w:trHeight w:val="253"/>
        </w:trPr>
        <w:tc>
          <w:tcPr>
            <w:tcW w:w="7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760" w:type="dxa"/>
            <w:vAlign w:val="bottom"/>
          </w:tcPr>
          <w:p>
            <w:pPr>
              <w:ind w:left="740"/>
              <w:spacing w:after="0" w:line="252" w:lineRule="exact"/>
              <w:rPr>
                <w:sz w:val="20"/>
                <w:szCs w:val="20"/>
                <w:color w:val="auto"/>
              </w:rPr>
            </w:pPr>
            <w:r>
              <w:rPr>
                <w:rFonts w:ascii="Arial" w:cs="Arial" w:eastAsia="Arial" w:hAnsi="Arial"/>
                <w:sz w:val="18"/>
                <w:szCs w:val="18"/>
                <w:color w:val="auto"/>
                <w:w w:val="94"/>
              </w:rPr>
              <w:t>but excluding, the 50</w:t>
            </w:r>
            <w:r>
              <w:rPr>
                <w:rFonts w:ascii="Arial" w:cs="Arial" w:eastAsia="Arial" w:hAnsi="Arial"/>
                <w:sz w:val="29"/>
                <w:szCs w:val="29"/>
                <w:color w:val="auto"/>
                <w:w w:val="94"/>
                <w:vertAlign w:val="superscript"/>
              </w:rPr>
              <w:t>th</w:t>
            </w:r>
            <w:r>
              <w:rPr>
                <w:rFonts w:ascii="Arial" w:cs="Arial" w:eastAsia="Arial" w:hAnsi="Arial"/>
                <w:sz w:val="18"/>
                <w:szCs w:val="18"/>
                <w:color w:val="auto"/>
                <w:w w:val="94"/>
              </w:rPr>
              <w:t xml:space="preserve"> Scheduled Trading Day following the First Expiration Date shall be an</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1"/>
              </w:rPr>
              <w:t>“Expiration Date” for a number of Warrants equal to the Daily Number of Warrants on such date;</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i w:val="1"/>
                <w:iCs w:val="1"/>
                <w:color w:val="auto"/>
                <w:w w:val="91"/>
              </w:rPr>
              <w:t xml:space="preserve">provided </w:t>
            </w:r>
            <w:r>
              <w:rPr>
                <w:rFonts w:ascii="Arial" w:cs="Arial" w:eastAsia="Arial" w:hAnsi="Arial"/>
                <w:sz w:val="18"/>
                <w:szCs w:val="18"/>
                <w:color w:val="auto"/>
                <w:w w:val="91"/>
              </w:rPr>
              <w:t>that, notwithstanding anything to the contrary in the Equity Definitions, if any such date</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8"/>
              </w:rPr>
              <w:t>is a Disrupted Day, the Calculation Agent shall, acting in good faith and in a commercially</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1"/>
              </w:rPr>
              <w:t>reasonable manner, (i) make adjustments, if applicable, to the Daily Number of Warrants or shall</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4"/>
              </w:rPr>
              <w:t>reduce such Daily Number of Warrants to zero for which such day shall be an Expiration Date</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4"/>
              </w:rPr>
              <w:t>and shall designate a Scheduled Trading Day or a number of Scheduled Trading Days as the</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8"/>
              </w:rPr>
              <w:t>Expiration Date(s) for the remaining Daily Number of Warrants or a portion thereof for the</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2"/>
              </w:rPr>
              <w:t>originally scheduled Expiration Date and (ii) if the Daily Number of Warrants for such Disrupted</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5"/>
              </w:rPr>
              <w:t>Day is not reduced to zero, determine the Settlement Price for such Disrupted Day based on</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1"/>
              </w:rPr>
              <w:t>transactions in the Shares on such Disrupted Day taking into account the nature and duration of</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1"/>
              </w:rPr>
              <w:t xml:space="preserve">such Market Disruption Event on such day; and </w:t>
            </w:r>
            <w:r>
              <w:rPr>
                <w:rFonts w:ascii="Arial" w:cs="Arial" w:eastAsia="Arial" w:hAnsi="Arial"/>
                <w:sz w:val="18"/>
                <w:szCs w:val="18"/>
                <w:i w:val="1"/>
                <w:iCs w:val="1"/>
                <w:color w:val="auto"/>
                <w:w w:val="91"/>
              </w:rPr>
              <w:t>provided further</w:t>
            </w:r>
            <w:r>
              <w:rPr>
                <w:rFonts w:ascii="Arial" w:cs="Arial" w:eastAsia="Arial" w:hAnsi="Arial"/>
                <w:sz w:val="18"/>
                <w:szCs w:val="18"/>
                <w:color w:val="auto"/>
                <w:w w:val="91"/>
              </w:rPr>
              <w:t xml:space="preserve"> that if such Expiration Date has</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4"/>
              </w:rPr>
              <w:t>not occurred pursuant to this clause as of the eighth Scheduled Trading Day following the last</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3"/>
              </w:rPr>
              <w:t>scheduled Expiration Date under the Transaction, the Calculation Agent shall have the right to</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3"/>
              </w:rPr>
              <w:t>declare such Scheduled Trading Day to be the final Expiration Date and the Calculation Agent</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1"/>
              </w:rPr>
              <w:t>shall determine its good faith estimate of the fair market value for the Shares as of the Valuation</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0"/>
              </w:rPr>
              <w:t>Time on that eighth Scheduled Trading Day or on any subsequent Scheduled Trading Day, as the</w:t>
            </w:r>
          </w:p>
        </w:tc>
      </w:tr>
      <w:tr>
        <w:trPr>
          <w:trHeight w:val="216"/>
        </w:trPr>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w w:val="98"/>
              </w:rPr>
              <w:t>Calculation Agent shall determine acting in good faith and using commercially reasonable</w:t>
            </w:r>
          </w:p>
        </w:tc>
      </w:tr>
      <w:tr>
        <w:trPr>
          <w:trHeight w:val="230"/>
        </w:trPr>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760" w:type="dxa"/>
            <w:vAlign w:val="bottom"/>
          </w:tcPr>
          <w:p>
            <w:pPr>
              <w:ind w:left="740"/>
              <w:spacing w:after="0"/>
              <w:rPr>
                <w:sz w:val="20"/>
                <w:szCs w:val="20"/>
                <w:color w:val="auto"/>
              </w:rPr>
            </w:pPr>
            <w:r>
              <w:rPr>
                <w:rFonts w:ascii="Arial" w:cs="Arial" w:eastAsia="Arial" w:hAnsi="Arial"/>
                <w:sz w:val="18"/>
                <w:szCs w:val="18"/>
                <w:color w:val="auto"/>
              </w:rPr>
              <w:t>means.</w:t>
            </w:r>
          </w:p>
        </w:tc>
      </w:tr>
      <w:tr>
        <w:trPr>
          <w:trHeight w:val="648"/>
        </w:trPr>
        <w:tc>
          <w:tcPr>
            <w:tcW w:w="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8"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880" w:type="dxa"/>
            <w:vAlign w:val="bottom"/>
            <w:gridSpan w:val="2"/>
          </w:tcPr>
          <w:p>
            <w:pPr>
              <w:ind w:left="280"/>
              <w:spacing w:after="0"/>
              <w:rPr>
                <w:sz w:val="20"/>
                <w:szCs w:val="20"/>
                <w:color w:val="auto"/>
              </w:rPr>
            </w:pPr>
            <w:r>
              <w:rPr>
                <w:rFonts w:ascii="Arial" w:cs="Arial" w:eastAsia="Arial" w:hAnsi="Arial"/>
                <w:sz w:val="18"/>
                <w:szCs w:val="18"/>
                <w:color w:val="auto"/>
              </w:rPr>
              <w:t>First Expiration Date:</w:t>
            </w:r>
          </w:p>
        </w:tc>
        <w:tc>
          <w:tcPr>
            <w:tcW w:w="7660" w:type="dxa"/>
            <w:vAlign w:val="bottom"/>
          </w:tcPr>
          <w:p>
            <w:pPr>
              <w:ind w:left="640"/>
              <w:spacing w:after="0"/>
              <w:rPr>
                <w:sz w:val="20"/>
                <w:szCs w:val="20"/>
                <w:color w:val="auto"/>
              </w:rPr>
            </w:pPr>
            <w:r>
              <w:rPr>
                <w:rFonts w:ascii="Arial" w:cs="Arial" w:eastAsia="Arial" w:hAnsi="Arial"/>
                <w:sz w:val="18"/>
                <w:szCs w:val="18"/>
                <w:color w:val="auto"/>
              </w:rPr>
              <w:t>September 15, 2026 (or if such day is not a Scheduled Trading Day, the next following</w:t>
            </w:r>
          </w:p>
        </w:tc>
      </w:tr>
      <w:tr>
        <w:trPr>
          <w:trHeight w:val="230"/>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Scheduled Trading Day), subject to Market Disruption Event below.</w:t>
            </w:r>
          </w:p>
        </w:tc>
      </w:tr>
      <w:tr>
        <w:trPr>
          <w:trHeight w:val="418"/>
        </w:trPr>
        <w:tc>
          <w:tcPr>
            <w:tcW w:w="70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8"/>
                <w:szCs w:val="18"/>
                <w:color w:val="auto"/>
              </w:rPr>
              <w:t>Daily Number of Warrants:</w:t>
            </w:r>
          </w:p>
        </w:tc>
        <w:tc>
          <w:tcPr>
            <w:tcW w:w="7660" w:type="dxa"/>
            <w:vAlign w:val="bottom"/>
          </w:tcPr>
          <w:p>
            <w:pPr>
              <w:ind w:left="640"/>
              <w:spacing w:after="0"/>
              <w:rPr>
                <w:sz w:val="20"/>
                <w:szCs w:val="20"/>
                <w:color w:val="auto"/>
              </w:rPr>
            </w:pPr>
            <w:r>
              <w:rPr>
                <w:rFonts w:ascii="Arial" w:cs="Arial" w:eastAsia="Arial" w:hAnsi="Arial"/>
                <w:sz w:val="18"/>
                <w:szCs w:val="18"/>
                <w:color w:val="auto"/>
                <w:w w:val="92"/>
              </w:rPr>
              <w:t>For any Expiration Date, the Number of Warrants that have not expired or been exercised as of</w:t>
            </w:r>
          </w:p>
        </w:tc>
      </w:tr>
      <w:tr>
        <w:trPr>
          <w:trHeight w:val="216"/>
        </w:trPr>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w w:val="94"/>
              </w:rPr>
              <w:t xml:space="preserve">such day, </w:t>
            </w:r>
            <w:r>
              <w:rPr>
                <w:rFonts w:ascii="Arial" w:cs="Arial" w:eastAsia="Arial" w:hAnsi="Arial"/>
                <w:sz w:val="18"/>
                <w:szCs w:val="18"/>
                <w:i w:val="1"/>
                <w:iCs w:val="1"/>
                <w:color w:val="auto"/>
                <w:w w:val="94"/>
              </w:rPr>
              <w:t>divided</w:t>
            </w:r>
            <w:r>
              <w:rPr>
                <w:rFonts w:ascii="Arial" w:cs="Arial" w:eastAsia="Arial" w:hAnsi="Arial"/>
                <w:sz w:val="18"/>
                <w:szCs w:val="18"/>
                <w:color w:val="auto"/>
                <w:w w:val="94"/>
              </w:rPr>
              <w:t xml:space="preserve"> by the remaining number of Expiration Dates (including such day), rounded</w:t>
            </w:r>
          </w:p>
        </w:tc>
      </w:tr>
      <w:tr>
        <w:trPr>
          <w:trHeight w:val="216"/>
        </w:trPr>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w w:val="91"/>
              </w:rPr>
              <w:t>down to the nearest whole number, subject to adjustment pursuant to the provisos to “Expiration</w:t>
            </w:r>
          </w:p>
        </w:tc>
      </w:tr>
      <w:tr>
        <w:trPr>
          <w:trHeight w:val="230"/>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Dates”.</w:t>
            </w:r>
          </w:p>
        </w:tc>
      </w:tr>
      <w:tr>
        <w:trPr>
          <w:trHeight w:val="418"/>
        </w:trPr>
        <w:tc>
          <w:tcPr>
            <w:tcW w:w="70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8"/>
                <w:szCs w:val="18"/>
                <w:color w:val="auto"/>
              </w:rPr>
              <w:t>Automatic Exercise:</w:t>
            </w:r>
          </w:p>
        </w:tc>
        <w:tc>
          <w:tcPr>
            <w:tcW w:w="7660" w:type="dxa"/>
            <w:vAlign w:val="bottom"/>
          </w:tcPr>
          <w:p>
            <w:pPr>
              <w:ind w:left="640"/>
              <w:spacing w:after="0"/>
              <w:rPr>
                <w:sz w:val="20"/>
                <w:szCs w:val="20"/>
                <w:color w:val="auto"/>
              </w:rPr>
            </w:pPr>
            <w:r>
              <w:rPr>
                <w:rFonts w:ascii="Arial" w:cs="Arial" w:eastAsia="Arial" w:hAnsi="Arial"/>
                <w:sz w:val="18"/>
                <w:szCs w:val="18"/>
                <w:color w:val="auto"/>
                <w:w w:val="94"/>
              </w:rPr>
              <w:t>Applicable; and means that for each Expiration Date, a number of Warrants equal to the Daily</w:t>
            </w:r>
          </w:p>
        </w:tc>
      </w:tr>
      <w:tr>
        <w:trPr>
          <w:trHeight w:val="216"/>
        </w:trPr>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w w:val="94"/>
              </w:rPr>
              <w:t>Number of Warrants for such Expiration Date will be deemed to be automatically exercised at</w:t>
            </w:r>
          </w:p>
        </w:tc>
      </w:tr>
      <w:tr>
        <w:trPr>
          <w:trHeight w:val="230"/>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the Expiration Time on such Expiration Date.</w:t>
            </w:r>
          </w:p>
        </w:tc>
      </w:tr>
      <w:tr>
        <w:trPr>
          <w:trHeight w:val="418"/>
        </w:trPr>
        <w:tc>
          <w:tcPr>
            <w:tcW w:w="70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8"/>
                <w:szCs w:val="18"/>
                <w:color w:val="auto"/>
              </w:rPr>
              <w:t>Market Disruption Event:</w:t>
            </w:r>
          </w:p>
        </w:tc>
        <w:tc>
          <w:tcPr>
            <w:tcW w:w="7660" w:type="dxa"/>
            <w:vAlign w:val="bottom"/>
          </w:tcPr>
          <w:p>
            <w:pPr>
              <w:ind w:left="640"/>
              <w:spacing w:after="0"/>
              <w:rPr>
                <w:sz w:val="20"/>
                <w:szCs w:val="20"/>
                <w:color w:val="auto"/>
              </w:rPr>
            </w:pPr>
            <w:r>
              <w:rPr>
                <w:rFonts w:ascii="Arial" w:cs="Arial" w:eastAsia="Arial" w:hAnsi="Arial"/>
                <w:sz w:val="18"/>
                <w:szCs w:val="18"/>
                <w:color w:val="auto"/>
                <w:w w:val="92"/>
              </w:rPr>
              <w:t>Section 6.3(a) of the Equity Definitions is hereby amended by replacing clause (ii) in its entirety</w:t>
            </w:r>
          </w:p>
        </w:tc>
      </w:tr>
      <w:tr>
        <w:trPr>
          <w:trHeight w:val="216"/>
        </w:trPr>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with “(ii) an Exchange Disruption, or” and inserting immediately following clause (iii) the</w:t>
            </w:r>
          </w:p>
        </w:tc>
      </w:tr>
      <w:tr>
        <w:trPr>
          <w:trHeight w:val="216"/>
        </w:trPr>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w w:val="96"/>
              </w:rPr>
              <w:t>phrase “; in each case that the Calculation Agent determines in its commercially reasonable</w:t>
            </w:r>
          </w:p>
        </w:tc>
      </w:tr>
      <w:tr>
        <w:trPr>
          <w:trHeight w:val="230"/>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discretion is material.”</w:t>
            </w:r>
          </w:p>
        </w:tc>
      </w:tr>
      <w:tr>
        <w:trPr>
          <w:trHeight w:val="418"/>
        </w:trPr>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w w:val="96"/>
              </w:rPr>
              <w:t>Section 6.3(d) of the Equity Definitions is hereby amended by deleting the remainder of the</w:t>
            </w:r>
          </w:p>
        </w:tc>
      </w:tr>
      <w:tr>
        <w:trPr>
          <w:trHeight w:val="230"/>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provision following the words “Scheduled Closing Time” in the fourth line thereof.</w:t>
            </w:r>
          </w:p>
        </w:tc>
      </w:tr>
      <w:tr>
        <w:trPr>
          <w:trHeight w:val="391"/>
        </w:trPr>
        <w:tc>
          <w:tcPr>
            <w:tcW w:w="700" w:type="dxa"/>
            <w:vAlign w:val="bottom"/>
          </w:tcPr>
          <w:p>
            <w:pPr>
              <w:spacing w:after="0"/>
              <w:rPr>
                <w:sz w:val="24"/>
                <w:szCs w:val="24"/>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i w:val="1"/>
                <w:iCs w:val="1"/>
                <w:color w:val="auto"/>
              </w:rPr>
              <w:t>Valuation Terms.</w:t>
            </w:r>
          </w:p>
        </w:tc>
        <w:tc>
          <w:tcPr>
            <w:tcW w:w="766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438"/>
        </w:trPr>
        <w:tc>
          <w:tcPr>
            <w:tcW w:w="70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8"/>
                <w:szCs w:val="18"/>
                <w:color w:val="auto"/>
              </w:rPr>
              <w:t>Valuation Time:</w:t>
            </w:r>
          </w:p>
        </w:tc>
        <w:tc>
          <w:tcPr>
            <w:tcW w:w="7660" w:type="dxa"/>
            <w:vAlign w:val="bottom"/>
          </w:tcPr>
          <w:p>
            <w:pPr>
              <w:ind w:left="640"/>
              <w:spacing w:after="0"/>
              <w:rPr>
                <w:sz w:val="20"/>
                <w:szCs w:val="20"/>
                <w:color w:val="auto"/>
              </w:rPr>
            </w:pPr>
            <w:r>
              <w:rPr>
                <w:rFonts w:ascii="Arial" w:cs="Arial" w:eastAsia="Arial" w:hAnsi="Arial"/>
                <w:sz w:val="18"/>
                <w:szCs w:val="18"/>
                <w:color w:val="auto"/>
              </w:rPr>
              <w:t xml:space="preserve">Scheduled Closing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principal trading session is extended, the</w:t>
            </w:r>
          </w:p>
        </w:tc>
      </w:tr>
      <w:tr>
        <w:trPr>
          <w:trHeight w:val="230"/>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Calculation Agent shall determine the Valuation Time in its reasonable discretion.</w:t>
            </w:r>
          </w:p>
        </w:tc>
      </w:tr>
      <w:tr>
        <w:trPr>
          <w:trHeight w:val="432"/>
        </w:trPr>
        <w:tc>
          <w:tcPr>
            <w:tcW w:w="70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8"/>
                <w:szCs w:val="18"/>
                <w:color w:val="auto"/>
              </w:rPr>
              <w:t>Valuation Date:</w:t>
            </w:r>
          </w:p>
        </w:tc>
        <w:tc>
          <w:tcPr>
            <w:tcW w:w="7660" w:type="dxa"/>
            <w:vAlign w:val="bottom"/>
          </w:tcPr>
          <w:p>
            <w:pPr>
              <w:ind w:left="640"/>
              <w:spacing w:after="0"/>
              <w:rPr>
                <w:sz w:val="20"/>
                <w:szCs w:val="20"/>
                <w:color w:val="auto"/>
              </w:rPr>
            </w:pPr>
            <w:r>
              <w:rPr>
                <w:rFonts w:ascii="Arial" w:cs="Arial" w:eastAsia="Arial" w:hAnsi="Arial"/>
                <w:sz w:val="18"/>
                <w:szCs w:val="18"/>
                <w:color w:val="auto"/>
              </w:rPr>
              <w:t>Each Exercise Date.</w:t>
            </w:r>
          </w:p>
        </w:tc>
      </w:tr>
      <w:tr>
        <w:trPr>
          <w:trHeight w:val="648"/>
        </w:trPr>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8" w:right="3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i w:val="1"/>
                <w:iCs w:val="1"/>
                <w:color w:val="auto"/>
              </w:rPr>
              <w:t>Settlement Terms.</w:t>
            </w:r>
          </w:p>
        </w:tc>
        <w:tc>
          <w:tcPr>
            <w:tcW w:w="76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438"/>
        </w:trPr>
        <w:tc>
          <w:tcPr>
            <w:tcW w:w="700" w:type="dxa"/>
            <w:vAlign w:val="bottom"/>
          </w:tcPr>
          <w:p>
            <w:pPr>
              <w:spacing w:after="0"/>
              <w:rPr>
                <w:sz w:val="24"/>
                <w:szCs w:val="24"/>
                <w:color w:val="auto"/>
              </w:rPr>
            </w:pPr>
          </w:p>
        </w:tc>
        <w:tc>
          <w:tcPr>
            <w:tcW w:w="2940" w:type="dxa"/>
            <w:vAlign w:val="bottom"/>
            <w:gridSpan w:val="2"/>
          </w:tcPr>
          <w:p>
            <w:pPr>
              <w:ind w:left="280"/>
              <w:spacing w:after="0"/>
              <w:rPr>
                <w:sz w:val="20"/>
                <w:szCs w:val="20"/>
                <w:color w:val="auto"/>
              </w:rPr>
            </w:pPr>
            <w:r>
              <w:rPr>
                <w:rFonts w:ascii="Arial" w:cs="Arial" w:eastAsia="Arial" w:hAnsi="Arial"/>
                <w:sz w:val="18"/>
                <w:szCs w:val="18"/>
                <w:color w:val="auto"/>
              </w:rPr>
              <w:t>Settlement Method Election:</w:t>
            </w:r>
          </w:p>
        </w:tc>
        <w:tc>
          <w:tcPr>
            <w:tcW w:w="7600" w:type="dxa"/>
            <w:vAlign w:val="bottom"/>
          </w:tcPr>
          <w:p>
            <w:pPr>
              <w:ind w:left="580"/>
              <w:spacing w:after="0"/>
              <w:rPr>
                <w:sz w:val="20"/>
                <w:szCs w:val="20"/>
                <w:color w:val="auto"/>
              </w:rPr>
            </w:pPr>
            <w:r>
              <w:rPr>
                <w:rFonts w:ascii="Arial" w:cs="Arial" w:eastAsia="Arial" w:hAnsi="Arial"/>
                <w:sz w:val="18"/>
                <w:szCs w:val="18"/>
                <w:color w:val="auto"/>
                <w:w w:val="96"/>
              </w:rPr>
              <w:t>Applicable; provided that (i) references to “Physical Settlement” in Section 7.1 of the Equity</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4"/>
              </w:rPr>
              <w:t>Definitions shall be replaced by references to “Net Share Settlement”; (ii) Company may elect</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Cash Settlement only if Company represents and warrants to Dealer in writing on the date of</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7"/>
              </w:rPr>
              <w:t>such election that (A) Company is not in possession of any material non-public information</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3"/>
              </w:rPr>
              <w:t>regarding Company or the Shares, (B) Company is electing Cash Settlement in good faith and</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not as part of a plan or scheme to evade compliance with the federal securities laws, (C) the</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2"/>
              </w:rPr>
              <w:t>assets of Company at their fair valuation exceed the liabilities of Company (including contingent</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9"/>
              </w:rPr>
              <w:t>liabilities), the capital of Company is adequate to conduct the business of Company, and</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Company has the ability to pay its debts and obligations as such debts mature and does not</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1"/>
              </w:rPr>
              <w:t>intend to, or does not believe that it will, incur debt beyond its ability to pay as such debts mature</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0"/>
              </w:rPr>
              <w:t>and Company would be able to purchase the Number of Shares with respect to the Transaction in</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rPr>
              <w:t>compliance with the laws of the jurisdiction of Company’s incorporation and (D) neither</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Company nor any of its subsidiaries has applied for, and until after the first date on which no</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7"/>
              </w:rPr>
              <w:t>portion of the Transaction remains outstanding following any final exercise and settlement,</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4"/>
              </w:rPr>
              <w:t>cancellation or early termination of the Transaction shall not apply, for a loan, loan guarantee,</w:t>
            </w:r>
          </w:p>
        </w:tc>
      </w:tr>
      <w:tr>
        <w:trPr>
          <w:trHeight w:val="212"/>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direct loan (as that term is defined in the Coronavirus Aid, Relief and Economic Security Act</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(the “</w:t>
            </w:r>
            <w:r>
              <w:rPr>
                <w:rFonts w:ascii="Arial" w:cs="Arial" w:eastAsia="Arial" w:hAnsi="Arial"/>
                <w:sz w:val="18"/>
                <w:szCs w:val="18"/>
                <w:b w:val="1"/>
                <w:bCs w:val="1"/>
                <w:color w:val="auto"/>
                <w:w w:val="95"/>
              </w:rPr>
              <w:t>CARES Act</w:t>
            </w:r>
            <w:r>
              <w:rPr>
                <w:rFonts w:ascii="Arial" w:cs="Arial" w:eastAsia="Arial" w:hAnsi="Arial"/>
                <w:sz w:val="18"/>
                <w:szCs w:val="18"/>
                <w:color w:val="auto"/>
                <w:w w:val="95"/>
              </w:rPr>
              <w:t>”)) or other investment, or to receive any financial assistance or relief under</w:t>
            </w:r>
          </w:p>
        </w:tc>
      </w:tr>
      <w:tr>
        <w:trPr>
          <w:trHeight w:val="220"/>
        </w:trPr>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8"/>
              </w:rPr>
              <w:t>any program or facility (collectively, “</w:t>
            </w:r>
            <w:r>
              <w:rPr>
                <w:rFonts w:ascii="Arial" w:cs="Arial" w:eastAsia="Arial" w:hAnsi="Arial"/>
                <w:sz w:val="18"/>
                <w:szCs w:val="18"/>
                <w:b w:val="1"/>
                <w:bCs w:val="1"/>
                <w:color w:val="auto"/>
                <w:w w:val="98"/>
              </w:rPr>
              <w:t>Financial Assistance</w:t>
            </w:r>
            <w:r>
              <w:rPr>
                <w:rFonts w:ascii="Arial" w:cs="Arial" w:eastAsia="Arial" w:hAnsi="Arial"/>
                <w:sz w:val="18"/>
                <w:szCs w:val="18"/>
                <w:color w:val="auto"/>
                <w:w w:val="98"/>
              </w:rPr>
              <w:t>”) that (a) is established under</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2"/>
              </w:rPr>
              <w:t>applicable law (whether in existence as of the Trade Date or subsequently enacted, adopted or</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rPr>
              <w:t>amended), including without limitation the CARES Act and the Federal Reserve Act, as</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3"/>
              </w:rPr>
              <w:t>amended, and (b) requires under applicable law (or any regulation, guidance, interpretation or</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4"/>
              </w:rPr>
              <w:t>other pronouncement of a governmental authority with jurisdiction for such program or facility)</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2"/>
              </w:rPr>
              <w:t>as a condition of such Financial Assistance, that Company comply with any requirement not to,</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7"/>
              </w:rPr>
              <w:t>or otherwise agree, attest, certify or warrant that it has not, as of the date specified in such</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3"/>
              </w:rPr>
              <w:t>condition, repurchased, or will not repurchase, any equity security of Company, and that it has</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3"/>
              </w:rPr>
              <w:t>not, as of the date specified in such condition, made a capital distribution or will make a capital</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6"/>
              </w:rPr>
              <w:t>distribution  or  where  the  terms  of  the  Transaction  would  cause  Company  under  any</w:t>
            </w:r>
          </w:p>
        </w:tc>
      </w:tr>
      <w:tr>
        <w:trPr>
          <w:trHeight w:val="212"/>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7"/>
              </w:rPr>
              <w:t>circumstances to fail to satisfy any condition for application for or receipt or retention of the</w:t>
            </w:r>
          </w:p>
        </w:tc>
      </w:tr>
      <w:tr>
        <w:trPr>
          <w:trHeight w:val="220"/>
        </w:trPr>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Financial Assistance (collectively, “</w:t>
            </w:r>
            <w:r>
              <w:rPr>
                <w:rFonts w:ascii="Arial" w:cs="Arial" w:eastAsia="Arial" w:hAnsi="Arial"/>
                <w:sz w:val="18"/>
                <w:szCs w:val="18"/>
                <w:b w:val="1"/>
                <w:bCs w:val="1"/>
                <w:color w:val="auto"/>
                <w:w w:val="95"/>
              </w:rPr>
              <w:t>Restricted Financial Assistance</w:t>
            </w:r>
            <w:r>
              <w:rPr>
                <w:rFonts w:ascii="Arial" w:cs="Arial" w:eastAsia="Arial" w:hAnsi="Arial"/>
                <w:sz w:val="18"/>
                <w:szCs w:val="18"/>
                <w:color w:val="auto"/>
                <w:w w:val="95"/>
              </w:rPr>
              <w:t>”), other than any such</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5"/>
              </w:rPr>
              <w:t>applications for Restricted Financial Assistance that were (or would be) made (x) determined</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4"/>
              </w:rPr>
              <w:t>based on the advice of outside counsel of national standing, that the terms of the Transaction</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rPr>
              <w:t>would not cause Company to fail to satisfy any condition for application for or receipt or</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0"/>
              </w:rPr>
              <w:t>retention of such Financial Assistance based on the terms of the program or facility as of the date</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7"/>
              </w:rPr>
              <w:t>of such advice or (y) after delivery to Dealer evidence of a waiver or other guidance from a</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8"/>
              </w:rPr>
              <w:t>governmental authority with jurisdiction for such program or facility that the Transaction is</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4"/>
              </w:rPr>
              <w:t>permitted under such program or facility (either by specific reference to the Transaction or by</w:t>
            </w:r>
          </w:p>
        </w:tc>
      </w:tr>
      <w:tr>
        <w:trPr>
          <w:trHeight w:val="216"/>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2"/>
              </w:rPr>
              <w:t>general reference to transactions with attributes of the Transaction in all relevant respects), and</w:t>
            </w:r>
          </w:p>
        </w:tc>
      </w:tr>
      <w:tr>
        <w:trPr>
          <w:trHeight w:val="230"/>
        </w:trPr>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0" w:type="dxa"/>
            <w:vAlign w:val="bottom"/>
          </w:tcPr>
          <w:p>
            <w:pPr>
              <w:ind w:left="580"/>
              <w:spacing w:after="0"/>
              <w:rPr>
                <w:sz w:val="20"/>
                <w:szCs w:val="20"/>
                <w:color w:val="auto"/>
              </w:rPr>
            </w:pPr>
            <w:r>
              <w:rPr>
                <w:rFonts w:ascii="Arial" w:cs="Arial" w:eastAsia="Arial" w:hAnsi="Arial"/>
                <w:sz w:val="18"/>
                <w:szCs w:val="18"/>
                <w:color w:val="auto"/>
                <w:w w:val="99"/>
              </w:rPr>
              <w:t>(iii) the same election of settlement method shall apply to all Expiration Dates hereunder.</w:t>
            </w:r>
          </w:p>
        </w:tc>
      </w:tr>
      <w:tr>
        <w:trPr>
          <w:trHeight w:val="648"/>
        </w:trPr>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891"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980"/>
              <w:spacing w:after="0"/>
              <w:rPr>
                <w:sz w:val="20"/>
                <w:szCs w:val="20"/>
                <w:color w:val="auto"/>
              </w:rPr>
            </w:pPr>
            <w:r>
              <w:rPr>
                <w:rFonts w:ascii="Arial" w:cs="Arial" w:eastAsia="Arial" w:hAnsi="Arial"/>
                <w:sz w:val="18"/>
                <w:szCs w:val="18"/>
                <w:color w:val="auto"/>
              </w:rPr>
              <w:t>Electing Party:</w:t>
            </w:r>
          </w:p>
        </w:tc>
        <w:tc>
          <w:tcPr>
            <w:tcW w:w="7420" w:type="dxa"/>
            <w:vAlign w:val="bottom"/>
          </w:tcPr>
          <w:p>
            <w:pPr>
              <w:ind w:left="400"/>
              <w:spacing w:after="0"/>
              <w:rPr>
                <w:sz w:val="20"/>
                <w:szCs w:val="20"/>
                <w:color w:val="auto"/>
              </w:rPr>
            </w:pPr>
            <w:r>
              <w:rPr>
                <w:rFonts w:ascii="Arial" w:cs="Arial" w:eastAsia="Arial" w:hAnsi="Arial"/>
                <w:sz w:val="18"/>
                <w:szCs w:val="18"/>
                <w:color w:val="auto"/>
              </w:rPr>
              <w:t>Company.</w:t>
            </w:r>
          </w:p>
        </w:tc>
      </w:tr>
      <w:tr>
        <w:trPr>
          <w:trHeight w:val="432"/>
        </w:trPr>
        <w:tc>
          <w:tcPr>
            <w:tcW w:w="3820" w:type="dxa"/>
            <w:vAlign w:val="bottom"/>
          </w:tcPr>
          <w:p>
            <w:pPr>
              <w:ind w:left="980"/>
              <w:spacing w:after="0"/>
              <w:rPr>
                <w:sz w:val="20"/>
                <w:szCs w:val="20"/>
                <w:color w:val="auto"/>
              </w:rPr>
            </w:pPr>
            <w:r>
              <w:rPr>
                <w:rFonts w:ascii="Arial" w:cs="Arial" w:eastAsia="Arial" w:hAnsi="Arial"/>
                <w:sz w:val="18"/>
                <w:szCs w:val="18"/>
                <w:color w:val="auto"/>
              </w:rPr>
              <w:t>Settlement Method Election Date:</w:t>
            </w:r>
          </w:p>
        </w:tc>
        <w:tc>
          <w:tcPr>
            <w:tcW w:w="7420" w:type="dxa"/>
            <w:vAlign w:val="bottom"/>
          </w:tcPr>
          <w:p>
            <w:pPr>
              <w:ind w:left="400"/>
              <w:spacing w:after="0"/>
              <w:rPr>
                <w:sz w:val="20"/>
                <w:szCs w:val="20"/>
                <w:color w:val="auto"/>
              </w:rPr>
            </w:pPr>
            <w:r>
              <w:rPr>
                <w:rFonts w:ascii="Arial" w:cs="Arial" w:eastAsia="Arial" w:hAnsi="Arial"/>
                <w:sz w:val="18"/>
                <w:szCs w:val="18"/>
                <w:color w:val="auto"/>
              </w:rPr>
              <w:t>The second Scheduled Trading Day immediately preceding the First Expiration Date.</w:t>
            </w:r>
          </w:p>
        </w:tc>
      </w:tr>
      <w:tr>
        <w:trPr>
          <w:trHeight w:val="432"/>
        </w:trPr>
        <w:tc>
          <w:tcPr>
            <w:tcW w:w="3820" w:type="dxa"/>
            <w:vAlign w:val="bottom"/>
          </w:tcPr>
          <w:p>
            <w:pPr>
              <w:ind w:left="980"/>
              <w:spacing w:after="0"/>
              <w:rPr>
                <w:sz w:val="20"/>
                <w:szCs w:val="20"/>
                <w:color w:val="auto"/>
              </w:rPr>
            </w:pPr>
            <w:r>
              <w:rPr>
                <w:rFonts w:ascii="Arial" w:cs="Arial" w:eastAsia="Arial" w:hAnsi="Arial"/>
                <w:sz w:val="18"/>
                <w:szCs w:val="18"/>
                <w:color w:val="auto"/>
              </w:rPr>
              <w:t>Default Settlement Method:</w:t>
            </w:r>
          </w:p>
        </w:tc>
        <w:tc>
          <w:tcPr>
            <w:tcW w:w="7420" w:type="dxa"/>
            <w:vAlign w:val="bottom"/>
          </w:tcPr>
          <w:p>
            <w:pPr>
              <w:ind w:left="400"/>
              <w:spacing w:after="0"/>
              <w:rPr>
                <w:sz w:val="20"/>
                <w:szCs w:val="20"/>
                <w:color w:val="auto"/>
              </w:rPr>
            </w:pPr>
            <w:r>
              <w:rPr>
                <w:rFonts w:ascii="Arial" w:cs="Arial" w:eastAsia="Arial" w:hAnsi="Arial"/>
                <w:sz w:val="18"/>
                <w:szCs w:val="18"/>
                <w:color w:val="auto"/>
              </w:rPr>
              <w:t>Net Share Settlement.</w:t>
            </w:r>
          </w:p>
        </w:tc>
      </w:tr>
      <w:tr>
        <w:trPr>
          <w:trHeight w:val="418"/>
        </w:trPr>
        <w:tc>
          <w:tcPr>
            <w:tcW w:w="3820" w:type="dxa"/>
            <w:vAlign w:val="bottom"/>
          </w:tcPr>
          <w:p>
            <w:pPr>
              <w:ind w:left="980"/>
              <w:spacing w:after="0"/>
              <w:rPr>
                <w:sz w:val="20"/>
                <w:szCs w:val="20"/>
                <w:color w:val="auto"/>
              </w:rPr>
            </w:pPr>
            <w:r>
              <w:rPr>
                <w:rFonts w:ascii="Arial" w:cs="Arial" w:eastAsia="Arial" w:hAnsi="Arial"/>
                <w:sz w:val="18"/>
                <w:szCs w:val="18"/>
                <w:color w:val="auto"/>
              </w:rPr>
              <w:t>Net Share Settlement:</w:t>
            </w:r>
          </w:p>
        </w:tc>
        <w:tc>
          <w:tcPr>
            <w:tcW w:w="7420" w:type="dxa"/>
            <w:vAlign w:val="bottom"/>
          </w:tcPr>
          <w:p>
            <w:pPr>
              <w:ind w:left="400"/>
              <w:spacing w:after="0"/>
              <w:rPr>
                <w:sz w:val="20"/>
                <w:szCs w:val="20"/>
                <w:color w:val="auto"/>
              </w:rPr>
            </w:pPr>
            <w:r>
              <w:rPr>
                <w:rFonts w:ascii="Arial" w:cs="Arial" w:eastAsia="Arial" w:hAnsi="Arial"/>
                <w:sz w:val="18"/>
                <w:szCs w:val="18"/>
                <w:color w:val="auto"/>
                <w:w w:val="96"/>
              </w:rPr>
              <w:t>If Net Share Settlement is applicable, then on the relevant Settlement Date, Company shall</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3"/>
              </w:rPr>
              <w:t>deliver to Dealer a number of Shares equal to the Share Delivery Quantity for such Settlement</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1"/>
              </w:rPr>
              <w:t>Date to the account specified herein free of payment through the Clearance System, and Dealer</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0"/>
              </w:rPr>
              <w:t>shall be treated as the holder of record of such Shares at the time of delivery of such Shares or, if</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3"/>
              </w:rPr>
              <w:t>earlier, at 5:00 p.m. (New York City time) on such Settlement Date, and Company shall pay to</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9"/>
              </w:rPr>
              <w:t>Dealer cash in lieu of any fractional Share based on the Settlement Price on the relevant</w:t>
            </w:r>
          </w:p>
        </w:tc>
      </w:tr>
      <w:tr>
        <w:trPr>
          <w:trHeight w:val="230"/>
        </w:trPr>
        <w:tc>
          <w:tcPr>
            <w:tcW w:w="382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Valuation Date.</w:t>
            </w:r>
          </w:p>
        </w:tc>
      </w:tr>
      <w:tr>
        <w:trPr>
          <w:trHeight w:val="418"/>
        </w:trPr>
        <w:tc>
          <w:tcPr>
            <w:tcW w:w="3820" w:type="dxa"/>
            <w:vAlign w:val="bottom"/>
          </w:tcPr>
          <w:p>
            <w:pPr>
              <w:ind w:left="980"/>
              <w:spacing w:after="0"/>
              <w:rPr>
                <w:sz w:val="20"/>
                <w:szCs w:val="20"/>
                <w:color w:val="auto"/>
              </w:rPr>
            </w:pPr>
            <w:r>
              <w:rPr>
                <w:rFonts w:ascii="Arial" w:cs="Arial" w:eastAsia="Arial" w:hAnsi="Arial"/>
                <w:sz w:val="18"/>
                <w:szCs w:val="18"/>
                <w:color w:val="auto"/>
              </w:rPr>
              <w:t>Share Delivery Quantity:</w:t>
            </w:r>
          </w:p>
        </w:tc>
        <w:tc>
          <w:tcPr>
            <w:tcW w:w="7420" w:type="dxa"/>
            <w:vAlign w:val="bottom"/>
          </w:tcPr>
          <w:p>
            <w:pPr>
              <w:ind w:left="400"/>
              <w:spacing w:after="0"/>
              <w:rPr>
                <w:sz w:val="20"/>
                <w:szCs w:val="20"/>
                <w:color w:val="auto"/>
              </w:rPr>
            </w:pPr>
            <w:r>
              <w:rPr>
                <w:rFonts w:ascii="Arial" w:cs="Arial" w:eastAsia="Arial" w:hAnsi="Arial"/>
                <w:sz w:val="18"/>
                <w:szCs w:val="18"/>
                <w:color w:val="auto"/>
                <w:w w:val="93"/>
              </w:rPr>
              <w:t>For any Settlement Date, a number of Shares, as calculated by the Calculation Agent, equal to</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3"/>
              </w:rPr>
              <w:t xml:space="preserve">the Net Share Settlement Amount for such Settlement Date </w:t>
            </w:r>
            <w:r>
              <w:rPr>
                <w:rFonts w:ascii="Arial" w:cs="Arial" w:eastAsia="Arial" w:hAnsi="Arial"/>
                <w:sz w:val="18"/>
                <w:szCs w:val="18"/>
                <w:i w:val="1"/>
                <w:iCs w:val="1"/>
                <w:color w:val="auto"/>
                <w:w w:val="93"/>
              </w:rPr>
              <w:t>divided by</w:t>
            </w:r>
            <w:r>
              <w:rPr>
                <w:rFonts w:ascii="Arial" w:cs="Arial" w:eastAsia="Arial" w:hAnsi="Arial"/>
                <w:sz w:val="18"/>
                <w:szCs w:val="18"/>
                <w:color w:val="auto"/>
                <w:w w:val="93"/>
              </w:rPr>
              <w:t xml:space="preserve"> the Settlement Price on</w:t>
            </w:r>
          </w:p>
        </w:tc>
      </w:tr>
      <w:tr>
        <w:trPr>
          <w:trHeight w:val="230"/>
        </w:trPr>
        <w:tc>
          <w:tcPr>
            <w:tcW w:w="382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8"/>
              </w:rPr>
              <w:t>the Valuation Date for such Settlement Date, rounded down to the nearest whole number.</w:t>
            </w:r>
          </w:p>
        </w:tc>
      </w:tr>
      <w:tr>
        <w:trPr>
          <w:trHeight w:val="418"/>
        </w:trPr>
        <w:tc>
          <w:tcPr>
            <w:tcW w:w="3820" w:type="dxa"/>
            <w:vAlign w:val="bottom"/>
          </w:tcPr>
          <w:p>
            <w:pPr>
              <w:ind w:left="980"/>
              <w:spacing w:after="0"/>
              <w:rPr>
                <w:sz w:val="20"/>
                <w:szCs w:val="20"/>
                <w:color w:val="auto"/>
              </w:rPr>
            </w:pPr>
            <w:r>
              <w:rPr>
                <w:rFonts w:ascii="Arial" w:cs="Arial" w:eastAsia="Arial" w:hAnsi="Arial"/>
                <w:sz w:val="18"/>
                <w:szCs w:val="18"/>
                <w:color w:val="auto"/>
              </w:rPr>
              <w:t>Net Share Settlement Amount:</w:t>
            </w:r>
          </w:p>
        </w:tc>
        <w:tc>
          <w:tcPr>
            <w:tcW w:w="7420" w:type="dxa"/>
            <w:vAlign w:val="bottom"/>
          </w:tcPr>
          <w:p>
            <w:pPr>
              <w:ind w:left="400"/>
              <w:spacing w:after="0"/>
              <w:rPr>
                <w:sz w:val="20"/>
                <w:szCs w:val="20"/>
                <w:color w:val="auto"/>
              </w:rPr>
            </w:pPr>
            <w:r>
              <w:rPr>
                <w:rFonts w:ascii="Arial" w:cs="Arial" w:eastAsia="Arial" w:hAnsi="Arial"/>
                <w:sz w:val="18"/>
                <w:szCs w:val="18"/>
                <w:color w:val="auto"/>
                <w:w w:val="90"/>
              </w:rPr>
              <w:t>For any Settlement Date, an amount equal to the product of (i) the number of Warrants exercised</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8"/>
              </w:rPr>
              <w:t>or deemed exercised on the relevant Exercise Date</w:t>
            </w:r>
            <w:r>
              <w:rPr>
                <w:rFonts w:ascii="Arial" w:cs="Arial" w:eastAsia="Arial" w:hAnsi="Arial"/>
                <w:sz w:val="18"/>
                <w:szCs w:val="18"/>
                <w:i w:val="1"/>
                <w:iCs w:val="1"/>
                <w:color w:val="auto"/>
                <w:w w:val="98"/>
              </w:rPr>
              <w:t>,</w:t>
            </w:r>
            <w:r>
              <w:rPr>
                <w:rFonts w:ascii="Arial" w:cs="Arial" w:eastAsia="Arial" w:hAnsi="Arial"/>
                <w:sz w:val="18"/>
                <w:szCs w:val="18"/>
                <w:color w:val="auto"/>
                <w:w w:val="98"/>
              </w:rPr>
              <w:t xml:space="preserve"> (ii) the Strike Price Differential for the</w:t>
            </w:r>
          </w:p>
        </w:tc>
      </w:tr>
      <w:tr>
        <w:trPr>
          <w:trHeight w:val="230"/>
        </w:trPr>
        <w:tc>
          <w:tcPr>
            <w:tcW w:w="382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relevant Valuation Date and (iii) the Warrant Entitlement.</w:t>
            </w:r>
          </w:p>
        </w:tc>
      </w:tr>
      <w:tr>
        <w:trPr>
          <w:trHeight w:val="418"/>
        </w:trPr>
        <w:tc>
          <w:tcPr>
            <w:tcW w:w="3820" w:type="dxa"/>
            <w:vAlign w:val="bottom"/>
          </w:tcPr>
          <w:p>
            <w:pPr>
              <w:ind w:left="980"/>
              <w:spacing w:after="0"/>
              <w:rPr>
                <w:sz w:val="20"/>
                <w:szCs w:val="20"/>
                <w:color w:val="auto"/>
              </w:rPr>
            </w:pPr>
            <w:r>
              <w:rPr>
                <w:rFonts w:ascii="Arial" w:cs="Arial" w:eastAsia="Arial" w:hAnsi="Arial"/>
                <w:sz w:val="18"/>
                <w:szCs w:val="18"/>
                <w:color w:val="auto"/>
              </w:rPr>
              <w:t>Cash Settlement:</w:t>
            </w:r>
          </w:p>
        </w:tc>
        <w:tc>
          <w:tcPr>
            <w:tcW w:w="7420" w:type="dxa"/>
            <w:vAlign w:val="bottom"/>
          </w:tcPr>
          <w:p>
            <w:pPr>
              <w:ind w:left="400"/>
              <w:spacing w:after="0"/>
              <w:rPr>
                <w:sz w:val="20"/>
                <w:szCs w:val="20"/>
                <w:color w:val="auto"/>
              </w:rPr>
            </w:pPr>
            <w:r>
              <w:rPr>
                <w:rFonts w:ascii="Arial" w:cs="Arial" w:eastAsia="Arial" w:hAnsi="Arial"/>
                <w:sz w:val="18"/>
                <w:szCs w:val="18"/>
                <w:color w:val="auto"/>
                <w:w w:val="92"/>
              </w:rPr>
              <w:t>If Cash Settlement is applicable, on the relevant Settlement Date, Company shall pay to Dealer</w:t>
            </w:r>
          </w:p>
        </w:tc>
      </w:tr>
      <w:tr>
        <w:trPr>
          <w:trHeight w:val="230"/>
        </w:trPr>
        <w:tc>
          <w:tcPr>
            <w:tcW w:w="382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1"/>
              </w:rPr>
              <w:t>an amount of cash in USD equal to the Net Share Settlement Amount for such Settlement Date.</w:t>
            </w:r>
          </w:p>
        </w:tc>
      </w:tr>
      <w:tr>
        <w:trPr>
          <w:trHeight w:val="418"/>
        </w:trPr>
        <w:tc>
          <w:tcPr>
            <w:tcW w:w="3820" w:type="dxa"/>
            <w:vAlign w:val="bottom"/>
          </w:tcPr>
          <w:p>
            <w:pPr>
              <w:ind w:left="980"/>
              <w:spacing w:after="0"/>
              <w:rPr>
                <w:sz w:val="20"/>
                <w:szCs w:val="20"/>
                <w:color w:val="auto"/>
              </w:rPr>
            </w:pPr>
            <w:r>
              <w:rPr>
                <w:rFonts w:ascii="Arial" w:cs="Arial" w:eastAsia="Arial" w:hAnsi="Arial"/>
                <w:sz w:val="18"/>
                <w:szCs w:val="18"/>
                <w:color w:val="auto"/>
              </w:rPr>
              <w:t>Settlement Price:</w:t>
            </w:r>
          </w:p>
        </w:tc>
        <w:tc>
          <w:tcPr>
            <w:tcW w:w="7420" w:type="dxa"/>
            <w:vAlign w:val="bottom"/>
          </w:tcPr>
          <w:p>
            <w:pPr>
              <w:ind w:left="400"/>
              <w:spacing w:after="0"/>
              <w:rPr>
                <w:sz w:val="20"/>
                <w:szCs w:val="20"/>
                <w:color w:val="auto"/>
              </w:rPr>
            </w:pPr>
            <w:r>
              <w:rPr>
                <w:rFonts w:ascii="Arial" w:cs="Arial" w:eastAsia="Arial" w:hAnsi="Arial"/>
                <w:sz w:val="18"/>
                <w:szCs w:val="18"/>
                <w:color w:val="auto"/>
                <w:w w:val="94"/>
              </w:rPr>
              <w:t>For any Valuation Date, the per Share volume-weighted average price as displayed under the</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7"/>
              </w:rPr>
              <w:t>heading “Bloomberg VWAP” on Bloomberg page “CBRL &lt;equity&gt; AQR” (or any successor</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9"/>
              </w:rPr>
              <w:t>thereto) in respect of the period from the scheduled opening time of the Exchange to the</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4"/>
              </w:rPr>
              <w:t>Scheduled Closing Time on such Valuation Date (or if such volume-weighted average price is</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0"/>
              </w:rPr>
              <w:t>unavailable or is manifestly erroneous, the market value of one Share on such Valuation Date, as</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6"/>
              </w:rPr>
              <w:t>determined by the Calculation Agent, acting in good faith and in a commercially reasonable</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5"/>
              </w:rPr>
              <w:t>manner). Notwithstanding the foregoing, if (i) any Expiration Date is a Disrupted Day and (ii)</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1"/>
              </w:rPr>
              <w:t>the Calculation Agent determines that such Expiration Date shall be an Expiration Date for fewer</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8"/>
              </w:rPr>
              <w:t>than the Daily Number of Warrants, as described above, then the Settlement Price for the</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0"/>
              </w:rPr>
              <w:t>relevant Valuation Date shall be the volume-weighted average price per Share on such Valuation</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88"/>
              </w:rPr>
              <w:t>Date on the Exchange, as determined by the Calculation Agent based on such sources as it deems</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6"/>
              </w:rPr>
              <w:t>appropriate, acting in good faith and in a commercially reasonable manner, using a volume-</w:t>
            </w:r>
          </w:p>
        </w:tc>
      </w:tr>
      <w:tr>
        <w:trPr>
          <w:trHeight w:val="216"/>
        </w:trPr>
        <w:tc>
          <w:tcPr>
            <w:tcW w:w="38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4"/>
              </w:rPr>
              <w:t>weighted methodology, for the portion of such Valuation Date for which the Calculation Agent</w:t>
            </w:r>
          </w:p>
        </w:tc>
      </w:tr>
      <w:tr>
        <w:trPr>
          <w:trHeight w:val="230"/>
        </w:trPr>
        <w:tc>
          <w:tcPr>
            <w:tcW w:w="382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determines there is no Market Disruption Event.</w:t>
            </w:r>
          </w:p>
        </w:tc>
      </w:tr>
      <w:tr>
        <w:trPr>
          <w:trHeight w:val="648"/>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1124" w:right="339" w:bottom="1440" w:gutter="0" w:footer="0" w:header="0"/>
        </w:sectPr>
      </w:pPr>
    </w:p>
    <w:bookmarkStart w:id="139" w:name="page140"/>
    <w:bookmarkEnd w:id="139"/>
    <w:p>
      <w:pPr>
        <w:ind w:left="980"/>
        <w:spacing w:after="0"/>
        <w:rPr>
          <w:sz w:val="20"/>
          <w:szCs w:val="20"/>
          <w:color w:val="auto"/>
        </w:rPr>
      </w:pPr>
      <w:r>
        <w:rPr>
          <w:rFonts w:ascii="Arial" w:cs="Arial" w:eastAsia="Arial" w:hAnsi="Arial"/>
          <w:sz w:val="16"/>
          <w:szCs w:val="16"/>
          <w:color w:val="auto"/>
        </w:rPr>
        <w:t>Settlement Dates:</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 xml:space="preserve">As determined pursuant to Section 9.4 of the Equity Definitions, subject to Section 9(j)(i) hereof;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Section 9.4 of the Equity Definitions is hereby amended by (i) inserting the words</w:t>
      </w:r>
      <w:r>
        <w:rPr>
          <w:rFonts w:ascii="Arial" w:cs="Arial" w:eastAsia="Arial" w:hAnsi="Arial"/>
          <w:sz w:val="18"/>
          <w:szCs w:val="18"/>
          <w:i w:val="1"/>
          <w:iCs w:val="1"/>
          <w:color w:val="auto"/>
        </w:rPr>
        <w:t xml:space="preserve"> </w:t>
      </w:r>
      <w:r>
        <w:rPr>
          <w:rFonts w:ascii="Arial" w:cs="Arial" w:eastAsia="Arial" w:hAnsi="Arial"/>
          <w:sz w:val="18"/>
          <w:szCs w:val="18"/>
          <w:color w:val="auto"/>
        </w:rPr>
        <w:t>“or cash” immediately following the word “Shares” in the first line thereof and (ii) inserting the words “for the Shares” immediately following the words “Settlement Cycle” in the second line thereof.</w:t>
      </w:r>
    </w:p>
    <w:p>
      <w:pPr>
        <w:spacing w:after="0" w:line="188" w:lineRule="exact"/>
        <w:rPr>
          <w:sz w:val="20"/>
          <w:szCs w:val="20"/>
          <w:color w:val="auto"/>
        </w:rPr>
      </w:pPr>
    </w:p>
    <w:p>
      <w:pPr>
        <w:sectPr>
          <w:pgSz w:w="11900" w:h="16838" w:orient="portrait"/>
          <w:cols w:equalWidth="0" w:num="2">
            <w:col w:w="3500" w:space="720"/>
            <w:col w:w="7020"/>
          </w:cols>
          <w:pgMar w:left="320" w:top="908" w:right="339" w:bottom="1440" w:gutter="0" w:footer="0" w:header="0"/>
        </w:sectPr>
      </w:pPr>
    </w:p>
    <w:p>
      <w:pPr>
        <w:ind w:left="980"/>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7"/>
          <w:szCs w:val="17"/>
          <w:color w:val="auto"/>
        </w:rPr>
        <w:t>If Net Share Settlement is applicable, 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171" w:lineRule="exact"/>
        <w:rPr>
          <w:sz w:val="20"/>
          <w:szCs w:val="20"/>
          <w:color w:val="auto"/>
        </w:rPr>
      </w:pPr>
    </w:p>
    <w:p>
      <w:pPr>
        <w:sectPr>
          <w:pgSz w:w="11900" w:h="16838" w:orient="portrait"/>
          <w:cols w:equalWidth="0" w:num="2">
            <w:col w:w="3500" w:space="720"/>
            <w:col w:w="7020"/>
          </w:cols>
          <w:pgMar w:left="320" w:top="908" w:right="339" w:bottom="144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Representation and Agreement: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w:t>
      </w:r>
    </w:p>
    <w:p>
      <w:pPr>
        <w:spacing w:after="0" w:line="180" w:lineRule="exact"/>
        <w:rPr>
          <w:sz w:val="20"/>
          <w:szCs w:val="20"/>
          <w:color w:val="auto"/>
        </w:rPr>
      </w:pPr>
    </w:p>
    <w:p>
      <w:pPr>
        <w:sectPr>
          <w:pgSz w:w="11900" w:h="16838" w:orient="portrait"/>
          <w:cols w:equalWidth="0" w:num="2">
            <w:col w:w="3500" w:space="720"/>
            <w:col w:w="7020"/>
          </w:cols>
          <w:pgMar w:left="320" w:top="908" w:right="339" w:bottom="1440" w:gutter="0" w:footer="0" w:header="0"/>
          <w:type w:val="continuous"/>
        </w:sect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Terms applicable to the Transaction</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w w:val="97"/>
              </w:rPr>
              <w:t>Adjustments applicable to the Transaction:</w:t>
            </w:r>
          </w:p>
        </w:tc>
        <w:tc>
          <w:tcPr>
            <w:tcW w:w="7260" w:type="dxa"/>
            <w:vAlign w:val="bottom"/>
          </w:tcPr>
          <w:p>
            <w:pPr>
              <w:spacing w:after="0"/>
              <w:rPr>
                <w:sz w:val="20"/>
                <w:szCs w:val="20"/>
                <w:color w:val="auto"/>
              </w:rPr>
            </w:pPr>
          </w:p>
        </w:tc>
      </w:tr>
      <w:tr>
        <w:trPr>
          <w:trHeight w:val="418"/>
        </w:trPr>
        <w:tc>
          <w:tcPr>
            <w:tcW w:w="3980" w:type="dxa"/>
            <w:vAlign w:val="bottom"/>
          </w:tcPr>
          <w:p>
            <w:pPr>
              <w:ind w:left="980"/>
              <w:spacing w:after="0"/>
              <w:rPr>
                <w:sz w:val="20"/>
                <w:szCs w:val="20"/>
                <w:color w:val="auto"/>
              </w:rPr>
            </w:pPr>
            <w:r>
              <w:rPr>
                <w:rFonts w:ascii="Arial" w:cs="Arial" w:eastAsia="Arial" w:hAnsi="Arial"/>
                <w:sz w:val="18"/>
                <w:szCs w:val="18"/>
                <w:color w:val="auto"/>
              </w:rPr>
              <w:t>Method of Adjustment:</w:t>
            </w:r>
          </w:p>
        </w:tc>
        <w:tc>
          <w:tcPr>
            <w:tcW w:w="7260" w:type="dxa"/>
            <w:vAlign w:val="bottom"/>
          </w:tcPr>
          <w:p>
            <w:pPr>
              <w:ind w:left="240"/>
              <w:spacing w:after="0"/>
              <w:rPr>
                <w:sz w:val="20"/>
                <w:szCs w:val="20"/>
                <w:color w:val="auto"/>
              </w:rPr>
            </w:pPr>
            <w:r>
              <w:rPr>
                <w:rFonts w:ascii="Arial" w:cs="Arial" w:eastAsia="Arial" w:hAnsi="Arial"/>
                <w:sz w:val="18"/>
                <w:szCs w:val="18"/>
                <w:color w:val="auto"/>
                <w:w w:val="93"/>
              </w:rPr>
              <w:t>Calculation Agent Adjustment, except that any adjustment in respect of a Potential Adjustment</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2"/>
              </w:rPr>
              <w:t xml:space="preserve">Event shall be made in a commercially reasonable manner;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the parties agree that</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(x) open market Share repurchases at prevailing market prices or (y) accelerated share</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7"/>
              </w:rPr>
              <w:t>repurchases, forward contracts or similar transactions (at, or at a commercially reasonable</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7"/>
              </w:rPr>
              <w:t>adjustment in relation to, prevailing market prices) that are entered into in accordance with</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0"/>
              </w:rPr>
              <w:t>customary, arm’s length terms for transactions of such type to repurchase the Shares (and, in the</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case of this clause (y), through a nationally-recognized financial institution), shall not be</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considered a Potential Adjustment Event as long as the aggregate number of Shares so</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1"/>
              </w:rPr>
              <w:t>repurchased (excluding the repurchase by Company of an aggregate of up to [_____] Shares to</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1"/>
              </w:rPr>
              <w:t>be settled on or around the Premium Payment Date [under (and as defined in) the Base Warrant</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3"/>
              </w:rPr>
              <w:t>Confirmation]) does not exceed 15% of the total number of Shares outstanding as of the Trade</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9"/>
              </w:rPr>
              <w:t>Date, as determined by Calculation Agent in a commercially reasonable manner. For the</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5"/>
              </w:rPr>
              <w:t>avoidance of doubt, in making any adjustments under the Equity Definitions, the Calculation</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2"/>
              </w:rPr>
              <w:t>Agent may make commercially reasonable adjustments, if any, to any one or more of the Strike</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6"/>
              </w:rPr>
              <w:t>Price, the Number of Warrants, the Daily Number of Warrants and the Warrant Entitlement.</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1"/>
              </w:rPr>
              <w:t>Notwithstanding the foregoing, any cash dividends or distributions on the Shares, whether or not</w:t>
            </w:r>
          </w:p>
        </w:tc>
      </w:tr>
      <w:tr>
        <w:trPr>
          <w:trHeight w:val="216"/>
        </w:trPr>
        <w:tc>
          <w:tcPr>
            <w:tcW w:w="39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8"/>
              </w:rPr>
              <w:t>extraordinary, shall be governed by Section 9(f) of this Confirmation in lieu of Article 10 or</w:t>
            </w:r>
          </w:p>
        </w:tc>
      </w:tr>
      <w:tr>
        <w:trPr>
          <w:trHeight w:val="230"/>
        </w:trPr>
        <w:tc>
          <w:tcPr>
            <w:tcW w:w="3980" w:type="dxa"/>
            <w:vAlign w:val="bottom"/>
          </w:tcPr>
          <w:p>
            <w:pPr>
              <w:spacing w:after="0"/>
              <w:rPr>
                <w:sz w:val="20"/>
                <w:szCs w:val="20"/>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Section 11.2(c) of the Equity Definitions.</w:t>
            </w:r>
          </w:p>
        </w:tc>
      </w:tr>
      <w:tr>
        <w:trPr>
          <w:trHeight w:val="648"/>
        </w:trPr>
        <w:tc>
          <w:tcPr>
            <w:tcW w:w="39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908" w:right="339" w:bottom="1440" w:gutter="0" w:footer="0" w:header="0"/>
          <w:type w:val="continuous"/>
        </w:sectPr>
      </w:pPr>
    </w:p>
    <w:bookmarkStart w:id="140" w:name="page141"/>
    <w:bookmarkEnd w:id="140"/>
    <w:p>
      <w:pPr>
        <w:ind w:left="660"/>
        <w:spacing w:after="0"/>
        <w:rPr>
          <w:sz w:val="20"/>
          <w:szCs w:val="20"/>
          <w:color w:val="auto"/>
        </w:rPr>
      </w:pPr>
      <w:r>
        <w:rPr>
          <w:rFonts w:ascii="Arial" w:cs="Arial" w:eastAsia="Arial" w:hAnsi="Arial"/>
          <w:sz w:val="18"/>
          <w:szCs w:val="18"/>
          <w:color w:val="auto"/>
        </w:rPr>
        <w:t>Extraordinary Events applicable to the Transaction: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980"/>
              <w:spacing w:after="0"/>
              <w:rPr>
                <w:sz w:val="20"/>
                <w:szCs w:val="20"/>
                <w:color w:val="auto"/>
              </w:rPr>
            </w:pPr>
            <w:r>
              <w:rPr>
                <w:rFonts w:ascii="Arial" w:cs="Arial" w:eastAsia="Arial" w:hAnsi="Arial"/>
                <w:sz w:val="18"/>
                <w:szCs w:val="18"/>
                <w:color w:val="auto"/>
              </w:rPr>
              <w:t>New Shares:</w:t>
            </w:r>
          </w:p>
        </w:tc>
        <w:tc>
          <w:tcPr>
            <w:tcW w:w="7640" w:type="dxa"/>
            <w:vAlign w:val="bottom"/>
          </w:tcPr>
          <w:p>
            <w:pPr>
              <w:ind w:left="620"/>
              <w:spacing w:after="0"/>
              <w:rPr>
                <w:sz w:val="20"/>
                <w:szCs w:val="20"/>
                <w:color w:val="auto"/>
              </w:rPr>
            </w:pPr>
            <w:r>
              <w:rPr>
                <w:rFonts w:ascii="Arial" w:cs="Arial" w:eastAsia="Arial" w:hAnsi="Arial"/>
                <w:sz w:val="18"/>
                <w:szCs w:val="18"/>
                <w:color w:val="auto"/>
                <w:w w:val="93"/>
              </w:rPr>
              <w:t>Section 12.1(i) of the Equity Definitions is hereby amended (a) by deleting the text in clause (i)</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7"/>
              </w:rPr>
              <w:t>thereof in its entirety (including the word “and” following clause (i)) and replacing it with the</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8"/>
              </w:rPr>
              <w:t>phrase “publicly quoted, traded or listed (or whose related depositary receipts are publicly</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4"/>
              </w:rPr>
              <w:t>quoted, traded or listed) on any of the New York Stock Exchange, The Nasdaq Global Select</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7"/>
              </w:rPr>
              <w:t>Market or The Nasdaq Global Market (or their respective successors)” and (b) by inserting</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4"/>
              </w:rPr>
              <w:t>immediately prior to the period the phrase “and (iii) of an entity or person that is a corporation</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2"/>
              </w:rPr>
              <w:t>organized under the laws of the United States, any State thereof or the District of Columbia that</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8"/>
              </w:rPr>
              <w:t>(x) also becomes Company under the Transaction or (y) directly or indirectly wholly owns</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7"/>
              </w:rPr>
              <w:t>Company  and  fully  and  unconditionally  guarantees  Company’s  obligations  under  the</w:t>
            </w:r>
          </w:p>
        </w:tc>
      </w:tr>
      <w:tr>
        <w:trPr>
          <w:trHeight w:val="230"/>
        </w:trPr>
        <w:tc>
          <w:tcPr>
            <w:tcW w:w="3600" w:type="dxa"/>
            <w:vAlign w:val="bottom"/>
          </w:tcPr>
          <w:p>
            <w:pPr>
              <w:spacing w:after="0"/>
              <w:rPr>
                <w:sz w:val="20"/>
                <w:szCs w:val="20"/>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Transaction, in either case, following such Merger Event or Tender Offer”.</w:t>
            </w:r>
          </w:p>
        </w:tc>
      </w:tr>
      <w:tr>
        <w:trPr>
          <w:trHeight w:val="432"/>
        </w:trPr>
        <w:tc>
          <w:tcPr>
            <w:tcW w:w="3600" w:type="dxa"/>
            <w:vAlign w:val="bottom"/>
          </w:tcPr>
          <w:p>
            <w:pPr>
              <w:ind w:left="660"/>
              <w:spacing w:after="0"/>
              <w:rPr>
                <w:sz w:val="20"/>
                <w:szCs w:val="20"/>
                <w:color w:val="auto"/>
              </w:rPr>
            </w:pPr>
            <w:r>
              <w:rPr>
                <w:rFonts w:ascii="Arial" w:cs="Arial" w:eastAsia="Arial" w:hAnsi="Arial"/>
                <w:sz w:val="18"/>
                <w:szCs w:val="18"/>
                <w:color w:val="auto"/>
              </w:rPr>
              <w:t>Consequence of Merger Events:</w:t>
            </w:r>
          </w:p>
        </w:tc>
        <w:tc>
          <w:tcPr>
            <w:tcW w:w="7640" w:type="dxa"/>
            <w:vAlign w:val="bottom"/>
          </w:tcPr>
          <w:p>
            <w:pPr>
              <w:spacing w:after="0"/>
              <w:rPr>
                <w:sz w:val="24"/>
                <w:szCs w:val="24"/>
                <w:color w:val="auto"/>
              </w:rPr>
            </w:pPr>
          </w:p>
        </w:tc>
      </w:tr>
      <w:tr>
        <w:trPr>
          <w:trHeight w:val="418"/>
        </w:trPr>
        <w:tc>
          <w:tcPr>
            <w:tcW w:w="3600" w:type="dxa"/>
            <w:vAlign w:val="bottom"/>
          </w:tcPr>
          <w:p>
            <w:pPr>
              <w:ind w:left="980"/>
              <w:spacing w:after="0"/>
              <w:rPr>
                <w:sz w:val="20"/>
                <w:szCs w:val="20"/>
                <w:color w:val="auto"/>
              </w:rPr>
            </w:pPr>
            <w:r>
              <w:rPr>
                <w:rFonts w:ascii="Arial" w:cs="Arial" w:eastAsia="Arial" w:hAnsi="Arial"/>
                <w:sz w:val="18"/>
                <w:szCs w:val="18"/>
                <w:color w:val="auto"/>
              </w:rPr>
              <w:t>Merger Event:</w:t>
            </w:r>
          </w:p>
        </w:tc>
        <w:tc>
          <w:tcPr>
            <w:tcW w:w="7640" w:type="dxa"/>
            <w:vAlign w:val="bottom"/>
          </w:tcPr>
          <w:p>
            <w:pPr>
              <w:ind w:left="620"/>
              <w:spacing w:after="0"/>
              <w:rPr>
                <w:sz w:val="20"/>
                <w:szCs w:val="20"/>
                <w:color w:val="auto"/>
              </w:rPr>
            </w:pPr>
            <w:r>
              <w:rPr>
                <w:rFonts w:ascii="Arial" w:cs="Arial" w:eastAsia="Arial" w:hAnsi="Arial"/>
                <w:sz w:val="18"/>
                <w:szCs w:val="18"/>
                <w:color w:val="auto"/>
                <w:w w:val="92"/>
              </w:rPr>
              <w:t xml:space="preserve">Applicable;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an event occurs that constitutes both a Merger Event under Section</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4"/>
              </w:rPr>
              <w:t>12.1(b) of the Equity Definitions and an Additional Termination Event under Section 9(g)(ii)(B)</w:t>
            </w:r>
          </w:p>
        </w:tc>
      </w:tr>
      <w:tr>
        <w:trPr>
          <w:trHeight w:val="230"/>
        </w:trPr>
        <w:tc>
          <w:tcPr>
            <w:tcW w:w="3600" w:type="dxa"/>
            <w:vAlign w:val="bottom"/>
          </w:tcPr>
          <w:p>
            <w:pPr>
              <w:spacing w:after="0"/>
              <w:rPr>
                <w:sz w:val="20"/>
                <w:szCs w:val="20"/>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of this Confirmation, Section 9(g)(ii)(B) will apply.</w:t>
            </w:r>
          </w:p>
        </w:tc>
      </w:tr>
      <w:tr>
        <w:trPr>
          <w:trHeight w:val="432"/>
        </w:trPr>
        <w:tc>
          <w:tcPr>
            <w:tcW w:w="3600" w:type="dxa"/>
            <w:vAlign w:val="bottom"/>
          </w:tcPr>
          <w:p>
            <w:pPr>
              <w:ind w:left="1300"/>
              <w:spacing w:after="0"/>
              <w:rPr>
                <w:sz w:val="20"/>
                <w:szCs w:val="20"/>
                <w:color w:val="auto"/>
              </w:rPr>
            </w:pPr>
            <w:r>
              <w:rPr>
                <w:rFonts w:ascii="Arial" w:cs="Arial" w:eastAsia="Arial" w:hAnsi="Arial"/>
                <w:sz w:val="18"/>
                <w:szCs w:val="18"/>
                <w:color w:val="auto"/>
              </w:rPr>
              <w:t>Share-for-Share:</w:t>
            </w:r>
          </w:p>
        </w:tc>
        <w:tc>
          <w:tcPr>
            <w:tcW w:w="7640" w:type="dxa"/>
            <w:vAlign w:val="bottom"/>
          </w:tcPr>
          <w:p>
            <w:pPr>
              <w:ind w:left="62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3600" w:type="dxa"/>
            <w:vAlign w:val="bottom"/>
          </w:tcPr>
          <w:p>
            <w:pPr>
              <w:ind w:left="1300"/>
              <w:spacing w:after="0"/>
              <w:rPr>
                <w:sz w:val="20"/>
                <w:szCs w:val="20"/>
                <w:color w:val="auto"/>
              </w:rPr>
            </w:pPr>
            <w:r>
              <w:rPr>
                <w:rFonts w:ascii="Arial" w:cs="Arial" w:eastAsia="Arial" w:hAnsi="Arial"/>
                <w:sz w:val="18"/>
                <w:szCs w:val="18"/>
                <w:color w:val="auto"/>
              </w:rPr>
              <w:t>Share-for-Other:</w:t>
            </w:r>
          </w:p>
        </w:tc>
        <w:tc>
          <w:tcPr>
            <w:tcW w:w="7640" w:type="dxa"/>
            <w:vAlign w:val="bottom"/>
          </w:tcPr>
          <w:p>
            <w:pPr>
              <w:ind w:left="620"/>
              <w:spacing w:after="0"/>
              <w:rPr>
                <w:sz w:val="20"/>
                <w:szCs w:val="20"/>
                <w:color w:val="auto"/>
              </w:rPr>
            </w:pPr>
            <w:r>
              <w:rPr>
                <w:rFonts w:ascii="Arial" w:cs="Arial" w:eastAsia="Arial" w:hAnsi="Arial"/>
                <w:sz w:val="18"/>
                <w:szCs w:val="18"/>
                <w:color w:val="auto"/>
              </w:rPr>
              <w:t>Cancellation and Payment (Calculation Agent Determination)</w:t>
            </w:r>
          </w:p>
        </w:tc>
      </w:tr>
      <w:tr>
        <w:trPr>
          <w:trHeight w:val="418"/>
        </w:trPr>
        <w:tc>
          <w:tcPr>
            <w:tcW w:w="3600" w:type="dxa"/>
            <w:vAlign w:val="bottom"/>
          </w:tcPr>
          <w:p>
            <w:pPr>
              <w:ind w:left="1300"/>
              <w:spacing w:after="0"/>
              <w:rPr>
                <w:sz w:val="20"/>
                <w:szCs w:val="20"/>
                <w:color w:val="auto"/>
              </w:rPr>
            </w:pPr>
            <w:r>
              <w:rPr>
                <w:rFonts w:ascii="Arial" w:cs="Arial" w:eastAsia="Arial" w:hAnsi="Arial"/>
                <w:sz w:val="18"/>
                <w:szCs w:val="18"/>
                <w:color w:val="auto"/>
              </w:rPr>
              <w:t>Share-for-Combined:</w:t>
            </w:r>
          </w:p>
        </w:tc>
        <w:tc>
          <w:tcPr>
            <w:tcW w:w="7640" w:type="dxa"/>
            <w:vAlign w:val="bottom"/>
          </w:tcPr>
          <w:p>
            <w:pPr>
              <w:ind w:left="620"/>
              <w:spacing w:after="0"/>
              <w:rPr>
                <w:sz w:val="20"/>
                <w:szCs w:val="20"/>
                <w:color w:val="auto"/>
              </w:rPr>
            </w:pPr>
            <w:r>
              <w:rPr>
                <w:rFonts w:ascii="Arial" w:cs="Arial" w:eastAsia="Arial" w:hAnsi="Arial"/>
                <w:sz w:val="18"/>
                <w:szCs w:val="18"/>
                <w:color w:val="auto"/>
                <w:w w:val="91"/>
              </w:rPr>
              <w:t xml:space="preserve">Cancellation and Payment (Calculation Agent Determination);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Dealer may elect, in</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8"/>
              </w:rPr>
              <w:t>its commercially reasonable judgment, Component Adjustment for all or any portion of the</w:t>
            </w:r>
          </w:p>
        </w:tc>
      </w:tr>
      <w:tr>
        <w:trPr>
          <w:trHeight w:val="230"/>
        </w:trPr>
        <w:tc>
          <w:tcPr>
            <w:tcW w:w="3600" w:type="dxa"/>
            <w:vAlign w:val="bottom"/>
          </w:tcPr>
          <w:p>
            <w:pPr>
              <w:spacing w:after="0"/>
              <w:rPr>
                <w:sz w:val="20"/>
                <w:szCs w:val="20"/>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Transaction.</w:t>
            </w:r>
          </w:p>
        </w:tc>
      </w:tr>
      <w:tr>
        <w:trPr>
          <w:trHeight w:val="432"/>
        </w:trPr>
        <w:tc>
          <w:tcPr>
            <w:tcW w:w="3600" w:type="dxa"/>
            <w:vAlign w:val="bottom"/>
          </w:tcPr>
          <w:p>
            <w:pPr>
              <w:ind w:left="660"/>
              <w:spacing w:after="0"/>
              <w:rPr>
                <w:sz w:val="20"/>
                <w:szCs w:val="20"/>
                <w:color w:val="auto"/>
              </w:rPr>
            </w:pPr>
            <w:r>
              <w:rPr>
                <w:rFonts w:ascii="Arial" w:cs="Arial" w:eastAsia="Arial" w:hAnsi="Arial"/>
                <w:sz w:val="18"/>
                <w:szCs w:val="18"/>
                <w:color w:val="auto"/>
              </w:rPr>
              <w:t>Consequence of Tender Offers:</w:t>
            </w:r>
          </w:p>
        </w:tc>
        <w:tc>
          <w:tcPr>
            <w:tcW w:w="7640" w:type="dxa"/>
            <w:vAlign w:val="bottom"/>
          </w:tcPr>
          <w:p>
            <w:pPr>
              <w:spacing w:after="0"/>
              <w:rPr>
                <w:sz w:val="24"/>
                <w:szCs w:val="24"/>
                <w:color w:val="auto"/>
              </w:rPr>
            </w:pPr>
          </w:p>
        </w:tc>
      </w:tr>
      <w:tr>
        <w:trPr>
          <w:trHeight w:val="418"/>
        </w:trPr>
        <w:tc>
          <w:tcPr>
            <w:tcW w:w="3600" w:type="dxa"/>
            <w:vAlign w:val="bottom"/>
          </w:tcPr>
          <w:p>
            <w:pPr>
              <w:ind w:left="1300"/>
              <w:spacing w:after="0"/>
              <w:rPr>
                <w:sz w:val="20"/>
                <w:szCs w:val="20"/>
                <w:color w:val="auto"/>
              </w:rPr>
            </w:pPr>
            <w:r>
              <w:rPr>
                <w:rFonts w:ascii="Arial" w:cs="Arial" w:eastAsia="Arial" w:hAnsi="Arial"/>
                <w:sz w:val="18"/>
                <w:szCs w:val="18"/>
                <w:color w:val="auto"/>
              </w:rPr>
              <w:t>Tender Offer:</w:t>
            </w:r>
          </w:p>
        </w:tc>
        <w:tc>
          <w:tcPr>
            <w:tcW w:w="7640" w:type="dxa"/>
            <w:vAlign w:val="bottom"/>
          </w:tcPr>
          <w:p>
            <w:pPr>
              <w:ind w:left="620"/>
              <w:spacing w:after="0"/>
              <w:rPr>
                <w:sz w:val="20"/>
                <w:szCs w:val="20"/>
                <w:color w:val="auto"/>
              </w:rPr>
            </w:pPr>
            <w:r>
              <w:rPr>
                <w:rFonts w:ascii="Arial" w:cs="Arial" w:eastAsia="Arial" w:hAnsi="Arial"/>
                <w:sz w:val="18"/>
                <w:szCs w:val="18"/>
                <w:color w:val="auto"/>
                <w:w w:val="99"/>
              </w:rPr>
              <w:t xml:space="preserve">Applicable;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Section 12.1(d) of the Equity Definitions is hereby amended by</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7"/>
              </w:rPr>
              <w:t xml:space="preserve">replacing “10%” with “20%” in the third line thereof; </w:t>
            </w:r>
            <w:r>
              <w:rPr>
                <w:rFonts w:ascii="Arial" w:cs="Arial" w:eastAsia="Arial" w:hAnsi="Arial"/>
                <w:sz w:val="18"/>
                <w:szCs w:val="18"/>
                <w:i w:val="1"/>
                <w:iCs w:val="1"/>
                <w:color w:val="auto"/>
                <w:w w:val="97"/>
              </w:rPr>
              <w:t>provided further</w:t>
            </w:r>
            <w:r>
              <w:rPr>
                <w:rFonts w:ascii="Arial" w:cs="Arial" w:eastAsia="Arial" w:hAnsi="Arial"/>
                <w:sz w:val="18"/>
                <w:szCs w:val="18"/>
                <w:color w:val="auto"/>
                <w:w w:val="97"/>
              </w:rPr>
              <w:t xml:space="preserve"> that if an event occurs</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that constitutes both a Tender Offer under Section 12.1(d) of the Equity Definitions and</w:t>
            </w:r>
          </w:p>
        </w:tc>
      </w:tr>
      <w:tr>
        <w:trPr>
          <w:trHeight w:val="216"/>
        </w:trPr>
        <w:tc>
          <w:tcPr>
            <w:tcW w:w="3600" w:type="dxa"/>
            <w:vAlign w:val="bottom"/>
          </w:tcPr>
          <w:p>
            <w:pPr>
              <w:spacing w:after="0"/>
              <w:rPr>
                <w:sz w:val="18"/>
                <w:szCs w:val="18"/>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w w:val="94"/>
              </w:rPr>
              <w:t>Additional Termination Event under Section 9(g)(ii)(A) of this Confirmation, Section 9(g)(ii)(A)</w:t>
            </w:r>
          </w:p>
        </w:tc>
      </w:tr>
      <w:tr>
        <w:trPr>
          <w:trHeight w:val="230"/>
        </w:trPr>
        <w:tc>
          <w:tcPr>
            <w:tcW w:w="3600" w:type="dxa"/>
            <w:vAlign w:val="bottom"/>
          </w:tcPr>
          <w:p>
            <w:pPr>
              <w:spacing w:after="0"/>
              <w:rPr>
                <w:sz w:val="20"/>
                <w:szCs w:val="20"/>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will apply.</w:t>
            </w:r>
          </w:p>
        </w:tc>
      </w:tr>
      <w:tr>
        <w:trPr>
          <w:trHeight w:val="432"/>
        </w:trPr>
        <w:tc>
          <w:tcPr>
            <w:tcW w:w="3600" w:type="dxa"/>
            <w:vAlign w:val="bottom"/>
          </w:tcPr>
          <w:p>
            <w:pPr>
              <w:ind w:left="1300"/>
              <w:spacing w:after="0"/>
              <w:rPr>
                <w:sz w:val="20"/>
                <w:szCs w:val="20"/>
                <w:color w:val="auto"/>
              </w:rPr>
            </w:pPr>
            <w:r>
              <w:rPr>
                <w:rFonts w:ascii="Arial" w:cs="Arial" w:eastAsia="Arial" w:hAnsi="Arial"/>
                <w:sz w:val="18"/>
                <w:szCs w:val="18"/>
                <w:color w:val="auto"/>
              </w:rPr>
              <w:t>Share-for-Share:</w:t>
            </w:r>
          </w:p>
        </w:tc>
        <w:tc>
          <w:tcPr>
            <w:tcW w:w="7640" w:type="dxa"/>
            <w:vAlign w:val="bottom"/>
          </w:tcPr>
          <w:p>
            <w:pPr>
              <w:ind w:left="620"/>
              <w:spacing w:after="0"/>
              <w:rPr>
                <w:sz w:val="20"/>
                <w:szCs w:val="20"/>
                <w:color w:val="auto"/>
              </w:rPr>
            </w:pPr>
            <w:r>
              <w:rPr>
                <w:rFonts w:ascii="Arial" w:cs="Arial" w:eastAsia="Arial" w:hAnsi="Arial"/>
                <w:sz w:val="18"/>
                <w:szCs w:val="18"/>
                <w:color w:val="auto"/>
              </w:rPr>
              <w:t>Modified Calculation Agent Adjustment</w:t>
            </w:r>
          </w:p>
        </w:tc>
      </w:tr>
      <w:tr>
        <w:trPr>
          <w:trHeight w:val="648"/>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908"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1300"/>
              <w:spacing w:after="0"/>
              <w:rPr>
                <w:sz w:val="20"/>
                <w:szCs w:val="20"/>
                <w:color w:val="auto"/>
              </w:rPr>
            </w:pPr>
            <w:r>
              <w:rPr>
                <w:rFonts w:ascii="Arial" w:cs="Arial" w:eastAsia="Arial" w:hAnsi="Arial"/>
                <w:sz w:val="18"/>
                <w:szCs w:val="18"/>
                <w:color w:val="auto"/>
              </w:rPr>
              <w:t>Share-for-Other:</w:t>
            </w:r>
          </w:p>
        </w:tc>
        <w:tc>
          <w:tcPr>
            <w:tcW w:w="7300" w:type="dxa"/>
            <w:vAlign w:val="bottom"/>
          </w:tcPr>
          <w:p>
            <w:pPr>
              <w:ind w:left="28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3940" w:type="dxa"/>
            <w:vAlign w:val="bottom"/>
          </w:tcPr>
          <w:p>
            <w:pPr>
              <w:ind w:left="1300"/>
              <w:spacing w:after="0"/>
              <w:rPr>
                <w:sz w:val="20"/>
                <w:szCs w:val="20"/>
                <w:color w:val="auto"/>
              </w:rPr>
            </w:pPr>
            <w:r>
              <w:rPr>
                <w:rFonts w:ascii="Arial" w:cs="Arial" w:eastAsia="Arial" w:hAnsi="Arial"/>
                <w:sz w:val="18"/>
                <w:szCs w:val="18"/>
                <w:color w:val="auto"/>
              </w:rPr>
              <w:t>Share-for-Combined:</w:t>
            </w:r>
          </w:p>
        </w:tc>
        <w:tc>
          <w:tcPr>
            <w:tcW w:w="7300" w:type="dxa"/>
            <w:vAlign w:val="bottom"/>
          </w:tcPr>
          <w:p>
            <w:pPr>
              <w:ind w:left="28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3940" w:type="dxa"/>
            <w:vAlign w:val="bottom"/>
          </w:tcPr>
          <w:p>
            <w:pPr>
              <w:ind w:left="1300"/>
              <w:spacing w:after="0"/>
              <w:rPr>
                <w:sz w:val="20"/>
                <w:szCs w:val="20"/>
                <w:color w:val="auto"/>
              </w:rPr>
            </w:pPr>
            <w:r>
              <w:rPr>
                <w:rFonts w:ascii="Arial" w:cs="Arial" w:eastAsia="Arial" w:hAnsi="Arial"/>
                <w:sz w:val="18"/>
                <w:szCs w:val="18"/>
                <w:color w:val="auto"/>
                <w:w w:val="98"/>
              </w:rPr>
              <w:t>Consequences of Announcement</w:t>
            </w:r>
          </w:p>
        </w:tc>
        <w:tc>
          <w:tcPr>
            <w:tcW w:w="7300" w:type="dxa"/>
            <w:vAlign w:val="bottom"/>
          </w:tcPr>
          <w:p>
            <w:pPr>
              <w:ind w:left="280"/>
              <w:spacing w:after="0"/>
              <w:rPr>
                <w:sz w:val="20"/>
                <w:szCs w:val="20"/>
                <w:color w:val="auto"/>
              </w:rPr>
            </w:pPr>
            <w:r>
              <w:rPr>
                <w:rFonts w:ascii="Arial" w:cs="Arial" w:eastAsia="Arial" w:hAnsi="Arial"/>
                <w:sz w:val="18"/>
                <w:szCs w:val="18"/>
                <w:color w:val="auto"/>
                <w:w w:val="93"/>
              </w:rPr>
              <w:t>Modified Calculation Agent Adjustment as set forth in Section 12.3(d) of the Equity Definitions;</w:t>
            </w:r>
          </w:p>
        </w:tc>
      </w:tr>
      <w:tr>
        <w:trPr>
          <w:trHeight w:val="216"/>
        </w:trPr>
        <w:tc>
          <w:tcPr>
            <w:tcW w:w="3940" w:type="dxa"/>
            <w:vAlign w:val="bottom"/>
          </w:tcPr>
          <w:p>
            <w:pPr>
              <w:ind w:left="1300"/>
              <w:spacing w:after="0"/>
              <w:rPr>
                <w:sz w:val="20"/>
                <w:szCs w:val="20"/>
                <w:color w:val="auto"/>
              </w:rPr>
            </w:pPr>
            <w:r>
              <w:rPr>
                <w:rFonts w:ascii="Arial" w:cs="Arial" w:eastAsia="Arial" w:hAnsi="Arial"/>
                <w:sz w:val="18"/>
                <w:szCs w:val="18"/>
                <w:color w:val="auto"/>
              </w:rPr>
              <w:t>Events:</w:t>
            </w:r>
          </w:p>
        </w:tc>
        <w:tc>
          <w:tcPr>
            <w:tcW w:w="7300" w:type="dxa"/>
            <w:vAlign w:val="bottom"/>
          </w:tcPr>
          <w:p>
            <w:pPr>
              <w:ind w:left="280"/>
              <w:spacing w:after="0"/>
              <w:rPr>
                <w:sz w:val="20"/>
                <w:szCs w:val="20"/>
                <w:color w:val="auto"/>
              </w:rPr>
            </w:pPr>
            <w:r>
              <w:rPr>
                <w:rFonts w:ascii="Arial" w:cs="Arial" w:eastAsia="Arial" w:hAnsi="Arial"/>
                <w:sz w:val="18"/>
                <w:szCs w:val="18"/>
                <w:i w:val="1"/>
                <w:iCs w:val="1"/>
                <w:color w:val="auto"/>
                <w:w w:val="93"/>
              </w:rPr>
              <w:t xml:space="preserve">provided </w:t>
            </w:r>
            <w:r>
              <w:rPr>
                <w:rFonts w:ascii="Arial" w:cs="Arial" w:eastAsia="Arial" w:hAnsi="Arial"/>
                <w:sz w:val="18"/>
                <w:szCs w:val="18"/>
                <w:color w:val="auto"/>
                <w:w w:val="93"/>
              </w:rPr>
              <w:t>that, in respect of an Announcement Event, (w) references to “Tender Offer” shall be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1"/>
              </w:rPr>
              <w:t>replaced by references to “Announcement Event” and references to “Tender Offer Date” shall be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3"/>
              </w:rPr>
              <w:t>replaced by references to “date of such Announcement Event”, (x) the fifth and sixth lines shall</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be deleted in their entirety and replaced with the words “effect on the Warrants of such</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2"/>
              </w:rPr>
              <w:t>Announcement Event solely to account for changes in volatility, expected dividends, stock loan</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2"/>
              </w:rPr>
              <w:t>rate or liquidity relevant to the Shares or the Warrants, or other commercially reasonable option</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3"/>
              </w:rPr>
              <w:t>pricing inputs”, (y) the words “whether within a commercially reasonable (as determined by the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5"/>
              </w:rPr>
              <w:t>Calculation Agent) period of time prior to or after the Announcement Event” shall be inserted</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3"/>
              </w:rPr>
              <w:t>prior to the word “which” in the seventh line and (z) for the avoidance of doubt, the Calculation</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0"/>
              </w:rPr>
              <w:t>Agent shall determine whether the relevant Announcement Event has had a material effect on the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9"/>
              </w:rPr>
              <w:t>Transaction (and, if so, adjust the terms of the Transaction accordingly in a commercially</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89"/>
              </w:rPr>
              <w:t>reasonable manner) on one or more occasions on or after the date of the Announcement Event up</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1"/>
              </w:rPr>
              <w:t>to, and including, the Expiration Date, any Early Termination Date, any other date of termination</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1"/>
              </w:rPr>
              <w:t>or cancellation and/or the date on which any prior Announcement Event is cancelled, withdrawn,</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2"/>
              </w:rPr>
              <w:t>discontinued or otherwise terminated, as applicable, it being understood that any adjustment in</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2"/>
              </w:rPr>
              <w:t>respect of an Announcement Event shall take into account any earlier adjustment relating to the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6"/>
              </w:rPr>
              <w:t>same Announcement Event. An Announcement Event shall be an “Extraordinary Event” for</w:t>
            </w:r>
          </w:p>
        </w:tc>
      </w:tr>
      <w:tr>
        <w:trPr>
          <w:trHeight w:val="230"/>
        </w:trPr>
        <w:tc>
          <w:tcPr>
            <w:tcW w:w="3940" w:type="dxa"/>
            <w:vAlign w:val="bottom"/>
          </w:tcPr>
          <w:p>
            <w:pPr>
              <w:spacing w:after="0"/>
              <w:rPr>
                <w:sz w:val="20"/>
                <w:szCs w:val="20"/>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6"/>
              </w:rPr>
              <w:t>purposes of the Equity Definitions, to which Article 12 of the Equity Definitions is applicable.</w:t>
            </w:r>
          </w:p>
        </w:tc>
      </w:tr>
      <w:tr>
        <w:trPr>
          <w:trHeight w:val="418"/>
        </w:trPr>
        <w:tc>
          <w:tcPr>
            <w:tcW w:w="3940" w:type="dxa"/>
            <w:vAlign w:val="bottom"/>
          </w:tcPr>
          <w:p>
            <w:pPr>
              <w:ind w:left="1300"/>
              <w:spacing w:after="0"/>
              <w:rPr>
                <w:sz w:val="20"/>
                <w:szCs w:val="20"/>
                <w:color w:val="auto"/>
              </w:rPr>
            </w:pPr>
            <w:r>
              <w:rPr>
                <w:rFonts w:ascii="Arial" w:cs="Arial" w:eastAsia="Arial" w:hAnsi="Arial"/>
                <w:sz w:val="18"/>
                <w:szCs w:val="18"/>
                <w:color w:val="auto"/>
              </w:rPr>
              <w:t>Announcement Event:</w:t>
            </w:r>
          </w:p>
        </w:tc>
        <w:tc>
          <w:tcPr>
            <w:tcW w:w="7300" w:type="dxa"/>
            <w:vAlign w:val="bottom"/>
          </w:tcPr>
          <w:p>
            <w:pPr>
              <w:ind w:left="280"/>
              <w:spacing w:after="0"/>
              <w:rPr>
                <w:sz w:val="20"/>
                <w:szCs w:val="20"/>
                <w:color w:val="auto"/>
              </w:rPr>
            </w:pPr>
            <w:r>
              <w:rPr>
                <w:rFonts w:ascii="Arial" w:cs="Arial" w:eastAsia="Arial" w:hAnsi="Arial"/>
                <w:sz w:val="18"/>
                <w:szCs w:val="18"/>
                <w:color w:val="auto"/>
                <w:w w:val="90"/>
              </w:rPr>
              <w:t>(i) The public announcement by Issuer, a subsidiary, affiliate, agent or representative of Issuer, or</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2"/>
              </w:rPr>
              <w:t>any Valid Third Party Entity of (x) any transaction or event that, if completed, would constitute a</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8"/>
              </w:rPr>
              <w:t>Merger Event or Tender Offer, (y) any potential acquisition or disposal by Issuer and/or its</w:t>
            </w:r>
          </w:p>
        </w:tc>
      </w:tr>
      <w:tr>
        <w:trPr>
          <w:trHeight w:val="212"/>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5"/>
              </w:rPr>
              <w:t>subsidiaries where the aggregate consideration exceeds 35% of the market capitalization of</w:t>
            </w:r>
          </w:p>
        </w:tc>
      </w:tr>
      <w:tr>
        <w:trPr>
          <w:trHeight w:val="220"/>
        </w:trPr>
        <w:tc>
          <w:tcPr>
            <w:tcW w:w="3940" w:type="dxa"/>
            <w:vAlign w:val="bottom"/>
          </w:tcPr>
          <w:p>
            <w:pPr>
              <w:spacing w:after="0"/>
              <w:rPr>
                <w:sz w:val="19"/>
                <w:szCs w:val="19"/>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8"/>
              </w:rPr>
              <w:t>Issuer as of the date of such announcement (a “</w:t>
            </w:r>
            <w:r>
              <w:rPr>
                <w:rFonts w:ascii="Arial" w:cs="Arial" w:eastAsia="Arial" w:hAnsi="Arial"/>
                <w:sz w:val="18"/>
                <w:szCs w:val="18"/>
                <w:b w:val="1"/>
                <w:bCs w:val="1"/>
                <w:color w:val="auto"/>
                <w:w w:val="98"/>
              </w:rPr>
              <w:t>Transformative Transaction</w:t>
            </w:r>
            <w:r>
              <w:rPr>
                <w:rFonts w:ascii="Arial" w:cs="Arial" w:eastAsia="Arial" w:hAnsi="Arial"/>
                <w:sz w:val="18"/>
                <w:szCs w:val="18"/>
                <w:color w:val="auto"/>
                <w:w w:val="98"/>
              </w:rPr>
              <w:t>”) or (z) the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4"/>
              </w:rPr>
              <w:t>intention to enter into a Merger Event or Tender Offer or a Transformative Transaction, (ii) the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7"/>
              </w:rPr>
              <w:t>public announcement by Issuer of an intention to solicit or enter into, or to explore strategic</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3"/>
              </w:rPr>
              <w:t>alternatives or other similar undertaking that may include, a Merger Event or Tender Offer or a</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1"/>
              </w:rPr>
              <w:t>Transformative Transaction or (iii) any subsequent public announcement by Issuer, a subsidiary,</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8"/>
              </w:rPr>
              <w:t>affiliate, agent or representative of Issuer, or any Valid Third Party Entity of a change to a</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1"/>
              </w:rPr>
              <w:t>transaction or intention that is the subject of an announcement of the type described in clause (i)</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2"/>
              </w:rPr>
              <w:t>or (ii) of this sentence (including, without limitation, a new announcement, whether or not by the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0"/>
              </w:rPr>
              <w:t>same party, relating to such a transaction or intention or the announcement of a withdrawal from,</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1"/>
              </w:rPr>
              <w:t>or the abandonment or discontinuation of, such a transaction or intention), as determined by the</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2"/>
              </w:rPr>
              <w:t>Calculation Agent. For the avoidance of doubt, the occurrence of an Announcement Event with</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0"/>
              </w:rPr>
              <w:t>respect to any transaction or intention shall not preclude the occurrence of a later Announcement</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6"/>
              </w:rPr>
              <w:t>Event  with  respect  to  such  transaction  or  intention.  For  purposes  of  this  definition  of</w:t>
            </w:r>
          </w:p>
        </w:tc>
      </w:tr>
      <w:tr>
        <w:trPr>
          <w:trHeight w:val="216"/>
        </w:trPr>
        <w:tc>
          <w:tcPr>
            <w:tcW w:w="394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4"/>
              </w:rPr>
              <w:t>“Announcement Event,” the remainder of the definition of “Merger Event” in Section 12.1(b) of</w:t>
            </w:r>
          </w:p>
        </w:tc>
      </w:tr>
      <w:tr>
        <w:trPr>
          <w:trHeight w:val="230"/>
        </w:trPr>
        <w:tc>
          <w:tcPr>
            <w:tcW w:w="3940" w:type="dxa"/>
            <w:vAlign w:val="bottom"/>
          </w:tcPr>
          <w:p>
            <w:pPr>
              <w:spacing w:after="0"/>
              <w:rPr>
                <w:sz w:val="20"/>
                <w:szCs w:val="20"/>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w w:val="93"/>
              </w:rPr>
              <w:t>the Equity Definitions following the definition of “Reverse Merger” therein shall be disregarded.</w:t>
            </w:r>
          </w:p>
        </w:tc>
      </w:tr>
      <w:tr>
        <w:trPr>
          <w:trHeight w:val="648"/>
        </w:trPr>
        <w:tc>
          <w:tcPr>
            <w:tcW w:w="394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08"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ind w:left="1300"/>
              <w:spacing w:after="0"/>
              <w:rPr>
                <w:sz w:val="20"/>
                <w:szCs w:val="20"/>
                <w:color w:val="auto"/>
              </w:rPr>
            </w:pPr>
            <w:r>
              <w:rPr>
                <w:rFonts w:ascii="Arial" w:cs="Arial" w:eastAsia="Arial" w:hAnsi="Arial"/>
                <w:sz w:val="18"/>
                <w:szCs w:val="18"/>
                <w:color w:val="auto"/>
              </w:rPr>
              <w:t>Valid Third Party Entity:</w:t>
            </w:r>
          </w:p>
        </w:tc>
        <w:tc>
          <w:tcPr>
            <w:tcW w:w="7380" w:type="dxa"/>
            <w:vAlign w:val="bottom"/>
          </w:tcPr>
          <w:p>
            <w:pPr>
              <w:ind w:left="360"/>
              <w:spacing w:after="0"/>
              <w:rPr>
                <w:sz w:val="20"/>
                <w:szCs w:val="20"/>
                <w:color w:val="auto"/>
              </w:rPr>
            </w:pPr>
            <w:r>
              <w:rPr>
                <w:rFonts w:ascii="Arial" w:cs="Arial" w:eastAsia="Arial" w:hAnsi="Arial"/>
                <w:sz w:val="18"/>
                <w:szCs w:val="18"/>
                <w:color w:val="auto"/>
              </w:rPr>
              <w:t>In respect of any transaction or event, any third party, or its subsidiary, affiliate, agent or</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0"/>
              </w:rPr>
              <w:t>representative, that has a bona fide intent to enter into or consummate such transaction or event,</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7"/>
              </w:rPr>
              <w:t>it being understood and agreed that in determining, in a commercially reasonable manner,</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9"/>
              </w:rPr>
              <w:t>whether such third party has such a bona fide intent, the Calculation Agent may take into</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2"/>
              </w:rPr>
              <w:t>consideration the effect of the relevant announcement by such third party on the Shares and/or</w:t>
            </w:r>
          </w:p>
        </w:tc>
      </w:tr>
      <w:tr>
        <w:trPr>
          <w:trHeight w:val="230"/>
        </w:trPr>
        <w:tc>
          <w:tcPr>
            <w:tcW w:w="3860" w:type="dxa"/>
            <w:vAlign w:val="bottom"/>
          </w:tcPr>
          <w:p>
            <w:pPr>
              <w:spacing w:after="0"/>
              <w:rPr>
                <w:sz w:val="20"/>
                <w:szCs w:val="20"/>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rPr>
              <w:t>options relating to the Shares.</w:t>
            </w:r>
          </w:p>
        </w:tc>
      </w:tr>
      <w:tr>
        <w:trPr>
          <w:trHeight w:val="418"/>
        </w:trPr>
        <w:tc>
          <w:tcPr>
            <w:tcW w:w="3860" w:type="dxa"/>
            <w:vAlign w:val="bottom"/>
          </w:tcPr>
          <w:p>
            <w:pPr>
              <w:ind w:left="1300"/>
              <w:spacing w:after="0"/>
              <w:rPr>
                <w:sz w:val="20"/>
                <w:szCs w:val="20"/>
                <w:color w:val="auto"/>
              </w:rPr>
            </w:pPr>
            <w:r>
              <w:rPr>
                <w:rFonts w:ascii="Arial" w:cs="Arial" w:eastAsia="Arial" w:hAnsi="Arial"/>
                <w:sz w:val="18"/>
                <w:szCs w:val="18"/>
                <w:color w:val="auto"/>
              </w:rPr>
              <w:t>Nationalization, Insolvency or</w:t>
            </w:r>
          </w:p>
        </w:tc>
        <w:tc>
          <w:tcPr>
            <w:tcW w:w="7380" w:type="dxa"/>
            <w:vAlign w:val="bottom"/>
          </w:tcPr>
          <w:p>
            <w:pPr>
              <w:ind w:left="360"/>
              <w:spacing w:after="0"/>
              <w:rPr>
                <w:sz w:val="20"/>
                <w:szCs w:val="20"/>
                <w:color w:val="auto"/>
              </w:rPr>
            </w:pPr>
            <w:r>
              <w:rPr>
                <w:rFonts w:ascii="Arial" w:cs="Arial" w:eastAsia="Arial" w:hAnsi="Arial"/>
                <w:sz w:val="18"/>
                <w:szCs w:val="18"/>
                <w:color w:val="auto"/>
                <w:w w:val="94"/>
              </w:rPr>
              <w:t xml:space="preserve">Cancellation and Payment (Calculation Agent Determination);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in addition to the</w:t>
            </w:r>
          </w:p>
        </w:tc>
      </w:tr>
      <w:tr>
        <w:trPr>
          <w:trHeight w:val="216"/>
        </w:trPr>
        <w:tc>
          <w:tcPr>
            <w:tcW w:w="3860" w:type="dxa"/>
            <w:vAlign w:val="bottom"/>
          </w:tcPr>
          <w:p>
            <w:pPr>
              <w:ind w:left="1300"/>
              <w:spacing w:after="0"/>
              <w:rPr>
                <w:sz w:val="20"/>
                <w:szCs w:val="20"/>
                <w:color w:val="auto"/>
              </w:rPr>
            </w:pPr>
            <w:r>
              <w:rPr>
                <w:rFonts w:ascii="Arial" w:cs="Arial" w:eastAsia="Arial" w:hAnsi="Arial"/>
                <w:sz w:val="18"/>
                <w:szCs w:val="18"/>
                <w:color w:val="auto"/>
              </w:rPr>
              <w:t>Delisting:</w:t>
            </w:r>
          </w:p>
        </w:tc>
        <w:tc>
          <w:tcPr>
            <w:tcW w:w="7380" w:type="dxa"/>
            <w:vAlign w:val="bottom"/>
          </w:tcPr>
          <w:p>
            <w:pPr>
              <w:ind w:left="360"/>
              <w:spacing w:after="0"/>
              <w:rPr>
                <w:sz w:val="20"/>
                <w:szCs w:val="20"/>
                <w:color w:val="auto"/>
              </w:rPr>
            </w:pPr>
            <w:r>
              <w:rPr>
                <w:rFonts w:ascii="Arial" w:cs="Arial" w:eastAsia="Arial" w:hAnsi="Arial"/>
                <w:sz w:val="18"/>
                <w:szCs w:val="18"/>
                <w:color w:val="auto"/>
                <w:w w:val="97"/>
              </w:rPr>
              <w:t>provisions of Section 12.6(a)(iii) of the Equity Definitions, it will also constitute a Delisting if</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4"/>
              </w:rPr>
              <w:t>the Exchange is located in the United States and the Shares are not immediately re-listed, re-</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1"/>
              </w:rPr>
              <w:t>traded or re-quoted on any of the New York Stock Exchange, The Nasdaq Global Select Market</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1"/>
              </w:rPr>
              <w:t>or The Nasdaq Global Market (or their respective successors); if the Shares are immediately re-</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0"/>
              </w:rPr>
              <w:t>listed, re-traded or re-quoted on any of the New York Stock Exchange, The Nasdaq Global Select</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9"/>
              </w:rPr>
              <w:t>Market or The Nasdaq Global Market (or their respective successors), such exchange or</w:t>
            </w:r>
          </w:p>
        </w:tc>
      </w:tr>
      <w:tr>
        <w:trPr>
          <w:trHeight w:val="230"/>
        </w:trPr>
        <w:tc>
          <w:tcPr>
            <w:tcW w:w="3860" w:type="dxa"/>
            <w:vAlign w:val="bottom"/>
          </w:tcPr>
          <w:p>
            <w:pPr>
              <w:spacing w:after="0"/>
              <w:rPr>
                <w:sz w:val="20"/>
                <w:szCs w:val="20"/>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rPr>
              <w:t>quotation system shall thereafter be deemed to be the Exchange.</w:t>
            </w:r>
          </w:p>
        </w:tc>
      </w:tr>
      <w:tr>
        <w:trPr>
          <w:trHeight w:val="432"/>
        </w:trPr>
        <w:tc>
          <w:tcPr>
            <w:tcW w:w="3860" w:type="dxa"/>
            <w:vAlign w:val="bottom"/>
          </w:tcPr>
          <w:p>
            <w:pPr>
              <w:ind w:left="660"/>
              <w:spacing w:after="0"/>
              <w:rPr>
                <w:sz w:val="20"/>
                <w:szCs w:val="20"/>
                <w:color w:val="auto"/>
              </w:rPr>
            </w:pPr>
            <w:r>
              <w:rPr>
                <w:rFonts w:ascii="Arial" w:cs="Arial" w:eastAsia="Arial" w:hAnsi="Arial"/>
                <w:sz w:val="18"/>
                <w:szCs w:val="18"/>
                <w:color w:val="auto"/>
              </w:rPr>
              <w:t>Additional Disruption Events:</w:t>
            </w:r>
          </w:p>
        </w:tc>
        <w:tc>
          <w:tcPr>
            <w:tcW w:w="7380" w:type="dxa"/>
            <w:vAlign w:val="bottom"/>
          </w:tcPr>
          <w:p>
            <w:pPr>
              <w:spacing w:after="0"/>
              <w:rPr>
                <w:sz w:val="24"/>
                <w:szCs w:val="24"/>
                <w:color w:val="auto"/>
              </w:rPr>
            </w:pPr>
          </w:p>
        </w:tc>
      </w:tr>
      <w:tr>
        <w:trPr>
          <w:trHeight w:val="418"/>
        </w:trPr>
        <w:tc>
          <w:tcPr>
            <w:tcW w:w="3860" w:type="dxa"/>
            <w:vAlign w:val="bottom"/>
          </w:tcPr>
          <w:p>
            <w:pPr>
              <w:ind w:left="1300"/>
              <w:spacing w:after="0"/>
              <w:rPr>
                <w:sz w:val="20"/>
                <w:szCs w:val="20"/>
                <w:color w:val="auto"/>
              </w:rPr>
            </w:pPr>
            <w:r>
              <w:rPr>
                <w:rFonts w:ascii="Arial" w:cs="Arial" w:eastAsia="Arial" w:hAnsi="Arial"/>
                <w:sz w:val="18"/>
                <w:szCs w:val="18"/>
                <w:color w:val="auto"/>
              </w:rPr>
              <w:t>Change in Law:</w:t>
            </w:r>
          </w:p>
        </w:tc>
        <w:tc>
          <w:tcPr>
            <w:tcW w:w="7380" w:type="dxa"/>
            <w:vAlign w:val="bottom"/>
          </w:tcPr>
          <w:p>
            <w:pPr>
              <w:ind w:left="360"/>
              <w:spacing w:after="0"/>
              <w:rPr>
                <w:sz w:val="20"/>
                <w:szCs w:val="20"/>
                <w:color w:val="auto"/>
              </w:rPr>
            </w:pPr>
            <w:r>
              <w:rPr>
                <w:rFonts w:ascii="Arial" w:cs="Arial" w:eastAsia="Arial" w:hAnsi="Arial"/>
                <w:sz w:val="18"/>
                <w:szCs w:val="18"/>
                <w:color w:val="auto"/>
                <w:w w:val="94"/>
              </w:rPr>
              <w:t xml:space="preserve">Applicable;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Section 12.9(a)(ii) of the Equity Definitions is hereby amended by (i)</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7"/>
              </w:rPr>
              <w:t>replacing the phrase “the interpretation” in the third line thereof with the phrase “, or public</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3"/>
              </w:rPr>
              <w:t>announcement of, the formal or informal interpretation”, (ii) replacing the word “Shares” where</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rPr>
              <w:t>it appears in clause (X) thereof with the words “Hedge Position” and (iii) replacing the</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rPr>
              <w:t>parenthetical beginning after the word “regulation” in the second line thereof the words</w:t>
            </w:r>
          </w:p>
        </w:tc>
      </w:tr>
      <w:tr>
        <w:trPr>
          <w:trHeight w:val="216"/>
        </w:trPr>
        <w:tc>
          <w:tcPr>
            <w:tcW w:w="3860" w:type="dxa"/>
            <w:vAlign w:val="bottom"/>
          </w:tcPr>
          <w:p>
            <w:pPr>
              <w:spacing w:after="0"/>
              <w:rPr>
                <w:sz w:val="18"/>
                <w:szCs w:val="18"/>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6"/>
              </w:rPr>
              <w:t>“(including, for the avoidance of doubt and without limitation, (x) any tax law or (y) adoption,</w:t>
            </w:r>
          </w:p>
        </w:tc>
      </w:tr>
      <w:tr>
        <w:trPr>
          <w:trHeight w:val="230"/>
        </w:trPr>
        <w:tc>
          <w:tcPr>
            <w:tcW w:w="3860" w:type="dxa"/>
            <w:vAlign w:val="bottom"/>
          </w:tcPr>
          <w:p>
            <w:pPr>
              <w:spacing w:after="0"/>
              <w:rPr>
                <w:sz w:val="20"/>
                <w:szCs w:val="20"/>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w w:val="93"/>
              </w:rPr>
              <w:t>effectiveness or promulgation of new regulations authorized or mandated by existing statute)”.</w:t>
            </w:r>
          </w:p>
        </w:tc>
      </w:tr>
      <w:tr>
        <w:trPr>
          <w:trHeight w:val="432"/>
        </w:trPr>
        <w:tc>
          <w:tcPr>
            <w:tcW w:w="3860" w:type="dxa"/>
            <w:vAlign w:val="bottom"/>
          </w:tcPr>
          <w:p>
            <w:pPr>
              <w:ind w:left="1300"/>
              <w:spacing w:after="0"/>
              <w:rPr>
                <w:sz w:val="20"/>
                <w:szCs w:val="20"/>
                <w:color w:val="auto"/>
              </w:rPr>
            </w:pPr>
            <w:r>
              <w:rPr>
                <w:rFonts w:ascii="Arial" w:cs="Arial" w:eastAsia="Arial" w:hAnsi="Arial"/>
                <w:sz w:val="18"/>
                <w:szCs w:val="18"/>
                <w:color w:val="auto"/>
              </w:rPr>
              <w:t>Failure to Deliver:</w:t>
            </w:r>
          </w:p>
        </w:tc>
        <w:tc>
          <w:tcPr>
            <w:tcW w:w="738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3860" w:type="dxa"/>
            <w:vAlign w:val="bottom"/>
          </w:tcPr>
          <w:p>
            <w:pPr>
              <w:ind w:left="1300"/>
              <w:spacing w:after="0"/>
              <w:rPr>
                <w:sz w:val="20"/>
                <w:szCs w:val="20"/>
                <w:color w:val="auto"/>
              </w:rPr>
            </w:pPr>
            <w:r>
              <w:rPr>
                <w:rFonts w:ascii="Arial" w:cs="Arial" w:eastAsia="Arial" w:hAnsi="Arial"/>
                <w:sz w:val="18"/>
                <w:szCs w:val="18"/>
                <w:color w:val="auto"/>
              </w:rPr>
              <w:t>Insolvency Filing:</w:t>
            </w:r>
          </w:p>
        </w:tc>
        <w:tc>
          <w:tcPr>
            <w:tcW w:w="7380" w:type="dxa"/>
            <w:vAlign w:val="bottom"/>
          </w:tcPr>
          <w:p>
            <w:pPr>
              <w:ind w:left="360"/>
              <w:spacing w:after="0"/>
              <w:rPr>
                <w:sz w:val="20"/>
                <w:szCs w:val="20"/>
                <w:color w:val="auto"/>
              </w:rPr>
            </w:pPr>
            <w:r>
              <w:rPr>
                <w:rFonts w:ascii="Arial" w:cs="Arial" w:eastAsia="Arial" w:hAnsi="Arial"/>
                <w:sz w:val="18"/>
                <w:szCs w:val="18"/>
                <w:color w:val="auto"/>
              </w:rPr>
              <w:t>Applicable</w:t>
            </w:r>
          </w:p>
        </w:tc>
      </w:tr>
      <w:tr>
        <w:trPr>
          <w:trHeight w:val="432"/>
        </w:trPr>
        <w:tc>
          <w:tcPr>
            <w:tcW w:w="3860" w:type="dxa"/>
            <w:vAlign w:val="bottom"/>
          </w:tcPr>
          <w:p>
            <w:pPr>
              <w:ind w:left="1300"/>
              <w:spacing w:after="0"/>
              <w:rPr>
                <w:sz w:val="20"/>
                <w:szCs w:val="20"/>
                <w:color w:val="auto"/>
              </w:rPr>
            </w:pPr>
            <w:r>
              <w:rPr>
                <w:rFonts w:ascii="Arial" w:cs="Arial" w:eastAsia="Arial" w:hAnsi="Arial"/>
                <w:sz w:val="18"/>
                <w:szCs w:val="18"/>
                <w:color w:val="auto"/>
              </w:rPr>
              <w:t>Hedging Disruption:</w:t>
            </w:r>
          </w:p>
        </w:tc>
        <w:tc>
          <w:tcPr>
            <w:tcW w:w="7380" w:type="dxa"/>
            <w:vAlign w:val="bottom"/>
          </w:tcPr>
          <w:p>
            <w:pPr>
              <w:ind w:left="36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648"/>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1340"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(i)</w:t>
            </w:r>
          </w:p>
        </w:tc>
        <w:tc>
          <w:tcPr>
            <w:tcW w:w="6740" w:type="dxa"/>
            <w:vAlign w:val="bottom"/>
          </w:tcPr>
          <w:p>
            <w:pPr>
              <w:ind w:left="240"/>
              <w:spacing w:after="0"/>
              <w:rPr>
                <w:sz w:val="20"/>
                <w:szCs w:val="20"/>
                <w:color w:val="auto"/>
              </w:rPr>
            </w:pPr>
            <w:r>
              <w:rPr>
                <w:rFonts w:ascii="Arial" w:cs="Arial" w:eastAsia="Arial" w:hAnsi="Arial"/>
                <w:sz w:val="18"/>
                <w:szCs w:val="18"/>
                <w:color w:val="auto"/>
                <w:w w:val="99"/>
              </w:rPr>
              <w:t>Section 12.9(a)(v) of the Equity Definitions is hereby amended by (a) inserting the</w:t>
            </w:r>
          </w:p>
        </w:tc>
      </w:tr>
      <w:tr>
        <w:trPr>
          <w:trHeight w:val="216"/>
        </w:trPr>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6"/>
              </w:rPr>
              <w:t>following words at the end of clause (A) thereof: “in the manner contemplated by the</w:t>
            </w:r>
          </w:p>
        </w:tc>
      </w:tr>
      <w:tr>
        <w:trPr>
          <w:trHeight w:val="216"/>
        </w:trPr>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2"/>
              </w:rPr>
              <w:t>Hedging Party on the Trade Date” and (b) inserting the following two phrases at the end</w:t>
            </w:r>
          </w:p>
        </w:tc>
      </w:tr>
      <w:tr>
        <w:trPr>
          <w:trHeight w:val="230"/>
        </w:trPr>
        <w:tc>
          <w:tcPr>
            <w:tcW w:w="3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of such Section:</w:t>
            </w:r>
          </w:p>
        </w:tc>
      </w:tr>
      <w:tr>
        <w:trPr>
          <w:trHeight w:val="418"/>
        </w:trPr>
        <w:tc>
          <w:tcPr>
            <w:tcW w:w="3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3"/>
              </w:rPr>
              <w:t>“For the avoidance of doubt, the term “equity price risk” shall be deemed to include, but</w:t>
            </w:r>
          </w:p>
        </w:tc>
      </w:tr>
      <w:tr>
        <w:trPr>
          <w:trHeight w:val="216"/>
        </w:trPr>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6"/>
              </w:rPr>
              <w:t>shall not be limited to, stock price and volatility risk. And, for the further avoidance of</w:t>
            </w:r>
          </w:p>
        </w:tc>
      </w:tr>
      <w:tr>
        <w:trPr>
          <w:trHeight w:val="216"/>
        </w:trPr>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4"/>
              </w:rPr>
              <w:t>doubt, any such transactions or assets referred to in phrases (A) or (B) above must be</w:t>
            </w:r>
          </w:p>
        </w:tc>
      </w:tr>
      <w:tr>
        <w:trPr>
          <w:trHeight w:val="230"/>
        </w:trPr>
        <w:tc>
          <w:tcPr>
            <w:tcW w:w="3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available on commercially reasonable pricing terms.”; and</w:t>
            </w:r>
          </w:p>
        </w:tc>
      </w:tr>
      <w:tr>
        <w:trPr>
          <w:trHeight w:val="418"/>
        </w:trPr>
        <w:tc>
          <w:tcPr>
            <w:tcW w:w="394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(ii)</w:t>
            </w:r>
          </w:p>
        </w:tc>
        <w:tc>
          <w:tcPr>
            <w:tcW w:w="6740" w:type="dxa"/>
            <w:vAlign w:val="bottom"/>
          </w:tcPr>
          <w:p>
            <w:pPr>
              <w:ind w:left="240"/>
              <w:spacing w:after="0"/>
              <w:rPr>
                <w:sz w:val="20"/>
                <w:szCs w:val="20"/>
                <w:color w:val="auto"/>
              </w:rPr>
            </w:pPr>
            <w:r>
              <w:rPr>
                <w:rFonts w:ascii="Arial" w:cs="Arial" w:eastAsia="Arial" w:hAnsi="Arial"/>
                <w:sz w:val="18"/>
                <w:szCs w:val="18"/>
                <w:color w:val="auto"/>
                <w:w w:val="94"/>
              </w:rPr>
              <w:t>Section 12.9(b)(iii) of the Equity Definitions is hereby amended by inserting in the third</w:t>
            </w:r>
          </w:p>
        </w:tc>
      </w:tr>
      <w:tr>
        <w:trPr>
          <w:trHeight w:val="216"/>
        </w:trPr>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4"/>
              </w:rPr>
              <w:t>line thereof, after the words “to terminate the Transaction”, the words “or, if a portion of</w:t>
            </w:r>
          </w:p>
        </w:tc>
      </w:tr>
      <w:tr>
        <w:trPr>
          <w:trHeight w:val="216"/>
        </w:trPr>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6"/>
              </w:rPr>
              <w:t>the Transaction is affected by such Hedging Disruption (as commercially reasonably</w:t>
            </w:r>
          </w:p>
        </w:tc>
      </w:tr>
      <w:tr>
        <w:trPr>
          <w:trHeight w:val="216"/>
        </w:trPr>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7"/>
              </w:rPr>
              <w:t>determined by the Hedging Party), such portion of the Transaction affected by such</w:t>
            </w:r>
          </w:p>
        </w:tc>
      </w:tr>
      <w:tr>
        <w:trPr>
          <w:trHeight w:val="230"/>
        </w:trPr>
        <w:tc>
          <w:tcPr>
            <w:tcW w:w="3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Hedging Disruption”.</w:t>
            </w:r>
          </w:p>
        </w:tc>
      </w:tr>
      <w:tr>
        <w:trPr>
          <w:trHeight w:val="432"/>
        </w:trPr>
        <w:tc>
          <w:tcPr>
            <w:tcW w:w="3940" w:type="dxa"/>
            <w:vAlign w:val="bottom"/>
          </w:tcPr>
          <w:p>
            <w:pPr>
              <w:ind w:left="1300"/>
              <w:spacing w:after="0"/>
              <w:rPr>
                <w:sz w:val="20"/>
                <w:szCs w:val="20"/>
                <w:color w:val="auto"/>
              </w:rPr>
            </w:pPr>
            <w:r>
              <w:rPr>
                <w:rFonts w:ascii="Arial" w:cs="Arial" w:eastAsia="Arial" w:hAnsi="Arial"/>
                <w:sz w:val="18"/>
                <w:szCs w:val="18"/>
                <w:color w:val="auto"/>
              </w:rPr>
              <w:t>Increased Cost of Hedging:</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Applicable</w:t>
            </w:r>
          </w:p>
        </w:tc>
      </w:tr>
      <w:tr>
        <w:trPr>
          <w:trHeight w:val="432"/>
        </w:trPr>
        <w:tc>
          <w:tcPr>
            <w:tcW w:w="3940" w:type="dxa"/>
            <w:vAlign w:val="bottom"/>
          </w:tcPr>
          <w:p>
            <w:pPr>
              <w:ind w:left="1300"/>
              <w:spacing w:after="0"/>
              <w:rPr>
                <w:sz w:val="20"/>
                <w:szCs w:val="20"/>
                <w:color w:val="auto"/>
              </w:rPr>
            </w:pPr>
            <w:r>
              <w:rPr>
                <w:rFonts w:ascii="Arial" w:cs="Arial" w:eastAsia="Arial" w:hAnsi="Arial"/>
                <w:sz w:val="18"/>
                <w:szCs w:val="18"/>
                <w:color w:val="auto"/>
              </w:rPr>
              <w:t>Loss of Stock Borrow:</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Applicable</w:t>
            </w:r>
          </w:p>
        </w:tc>
      </w:tr>
      <w:tr>
        <w:trPr>
          <w:trHeight w:val="432"/>
        </w:trPr>
        <w:tc>
          <w:tcPr>
            <w:tcW w:w="3940" w:type="dxa"/>
            <w:vAlign w:val="bottom"/>
          </w:tcPr>
          <w:p>
            <w:pPr>
              <w:ind w:left="1620"/>
              <w:spacing w:after="0"/>
              <w:rPr>
                <w:sz w:val="20"/>
                <w:szCs w:val="20"/>
                <w:color w:val="auto"/>
              </w:rPr>
            </w:pPr>
            <w:r>
              <w:rPr>
                <w:rFonts w:ascii="Arial" w:cs="Arial" w:eastAsia="Arial" w:hAnsi="Arial"/>
                <w:sz w:val="18"/>
                <w:szCs w:val="18"/>
                <w:color w:val="auto"/>
              </w:rPr>
              <w:t>Maximum Stock Loan Rate:</w:t>
            </w:r>
          </w:p>
        </w:tc>
        <w:tc>
          <w:tcPr>
            <w:tcW w:w="560" w:type="dxa"/>
            <w:vAlign w:val="bottom"/>
          </w:tcPr>
          <w:p>
            <w:pPr>
              <w:spacing w:after="0"/>
              <w:rPr>
                <w:sz w:val="24"/>
                <w:szCs w:val="24"/>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200 basis points</w:t>
            </w:r>
          </w:p>
        </w:tc>
      </w:tr>
      <w:tr>
        <w:trPr>
          <w:trHeight w:val="432"/>
        </w:trPr>
        <w:tc>
          <w:tcPr>
            <w:tcW w:w="3940" w:type="dxa"/>
            <w:vAlign w:val="bottom"/>
          </w:tcPr>
          <w:p>
            <w:pPr>
              <w:ind w:left="1300"/>
              <w:spacing w:after="0"/>
              <w:rPr>
                <w:sz w:val="20"/>
                <w:szCs w:val="20"/>
                <w:color w:val="auto"/>
              </w:rPr>
            </w:pPr>
            <w:r>
              <w:rPr>
                <w:rFonts w:ascii="Arial" w:cs="Arial" w:eastAsia="Arial" w:hAnsi="Arial"/>
                <w:sz w:val="18"/>
                <w:szCs w:val="18"/>
                <w:color w:val="auto"/>
              </w:rPr>
              <w:t>Increased Cost of Stock Borrow:</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Applicable</w:t>
            </w:r>
          </w:p>
        </w:tc>
      </w:tr>
      <w:tr>
        <w:trPr>
          <w:trHeight w:val="432"/>
        </w:trPr>
        <w:tc>
          <w:tcPr>
            <w:tcW w:w="3940" w:type="dxa"/>
            <w:vAlign w:val="bottom"/>
          </w:tcPr>
          <w:p>
            <w:pPr>
              <w:ind w:left="1620"/>
              <w:spacing w:after="0"/>
              <w:rPr>
                <w:sz w:val="20"/>
                <w:szCs w:val="20"/>
                <w:color w:val="auto"/>
              </w:rPr>
            </w:pPr>
            <w:r>
              <w:rPr>
                <w:rFonts w:ascii="Arial" w:cs="Arial" w:eastAsia="Arial" w:hAnsi="Arial"/>
                <w:sz w:val="18"/>
                <w:szCs w:val="18"/>
                <w:color w:val="auto"/>
              </w:rPr>
              <w:t>Initial Stock Loan Rate:</w:t>
            </w:r>
          </w:p>
        </w:tc>
        <w:tc>
          <w:tcPr>
            <w:tcW w:w="560" w:type="dxa"/>
            <w:vAlign w:val="bottom"/>
          </w:tcPr>
          <w:p>
            <w:pPr>
              <w:spacing w:after="0"/>
              <w:rPr>
                <w:sz w:val="24"/>
                <w:szCs w:val="24"/>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0 basis points until June 15, 2026 and 25 basis points thereafter.</w:t>
            </w:r>
          </w:p>
        </w:tc>
      </w:tr>
      <w:tr>
        <w:trPr>
          <w:trHeight w:val="432"/>
        </w:trPr>
        <w:tc>
          <w:tcPr>
            <w:tcW w:w="3940" w:type="dxa"/>
            <w:vAlign w:val="bottom"/>
          </w:tcPr>
          <w:p>
            <w:pPr>
              <w:ind w:left="1300"/>
              <w:spacing w:after="0"/>
              <w:rPr>
                <w:sz w:val="20"/>
                <w:szCs w:val="20"/>
                <w:color w:val="auto"/>
              </w:rPr>
            </w:pPr>
            <w:r>
              <w:rPr>
                <w:rFonts w:ascii="Arial" w:cs="Arial" w:eastAsia="Arial" w:hAnsi="Arial"/>
                <w:sz w:val="18"/>
                <w:szCs w:val="18"/>
                <w:color w:val="auto"/>
              </w:rPr>
              <w:t>Hedging Party:</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For all applicable Additional Disruption Events, Dealer.</w:t>
            </w:r>
          </w:p>
        </w:tc>
      </w:tr>
      <w:tr>
        <w:trPr>
          <w:trHeight w:val="432"/>
        </w:trPr>
        <w:tc>
          <w:tcPr>
            <w:tcW w:w="3940" w:type="dxa"/>
            <w:vAlign w:val="bottom"/>
          </w:tcPr>
          <w:p>
            <w:pPr>
              <w:ind w:left="660"/>
              <w:spacing w:after="0"/>
              <w:rPr>
                <w:sz w:val="20"/>
                <w:szCs w:val="20"/>
                <w:color w:val="auto"/>
              </w:rPr>
            </w:pPr>
            <w:r>
              <w:rPr>
                <w:rFonts w:ascii="Arial" w:cs="Arial" w:eastAsia="Arial" w:hAnsi="Arial"/>
                <w:sz w:val="18"/>
                <w:szCs w:val="18"/>
                <w:color w:val="auto"/>
              </w:rPr>
              <w:t>Determining Party:</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For all applicable Extraordinary Events, Dealer.</w:t>
            </w:r>
          </w:p>
        </w:tc>
      </w:tr>
      <w:tr>
        <w:trPr>
          <w:trHeight w:val="432"/>
        </w:trPr>
        <w:tc>
          <w:tcPr>
            <w:tcW w:w="3940" w:type="dxa"/>
            <w:vAlign w:val="bottom"/>
          </w:tcPr>
          <w:p>
            <w:pPr>
              <w:ind w:left="660"/>
              <w:spacing w:after="0"/>
              <w:rPr>
                <w:sz w:val="20"/>
                <w:szCs w:val="20"/>
                <w:color w:val="auto"/>
              </w:rPr>
            </w:pPr>
            <w:r>
              <w:rPr>
                <w:rFonts w:ascii="Arial" w:cs="Arial" w:eastAsia="Arial" w:hAnsi="Arial"/>
                <w:sz w:val="18"/>
                <w:szCs w:val="18"/>
                <w:color w:val="auto"/>
              </w:rPr>
              <w:t>Non-Reliance:</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Applicable</w:t>
            </w:r>
          </w:p>
        </w:tc>
      </w:tr>
      <w:tr>
        <w:trPr>
          <w:trHeight w:val="418"/>
        </w:trPr>
        <w:tc>
          <w:tcPr>
            <w:tcW w:w="3940" w:type="dxa"/>
            <w:vAlign w:val="bottom"/>
          </w:tcPr>
          <w:p>
            <w:pPr>
              <w:ind w:left="660"/>
              <w:spacing w:after="0"/>
              <w:rPr>
                <w:sz w:val="20"/>
                <w:szCs w:val="20"/>
                <w:color w:val="auto"/>
              </w:rPr>
            </w:pPr>
            <w:r>
              <w:rPr>
                <w:rFonts w:ascii="Arial" w:cs="Arial" w:eastAsia="Arial" w:hAnsi="Arial"/>
                <w:sz w:val="18"/>
                <w:szCs w:val="18"/>
                <w:color w:val="auto"/>
              </w:rPr>
              <w:t>Agreements and Acknowledgments</w:t>
            </w:r>
          </w:p>
        </w:tc>
        <w:tc>
          <w:tcPr>
            <w:tcW w:w="56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230"/>
        </w:trPr>
        <w:tc>
          <w:tcPr>
            <w:tcW w:w="3940" w:type="dxa"/>
            <w:vAlign w:val="bottom"/>
          </w:tcPr>
          <w:p>
            <w:pPr>
              <w:ind w:left="660"/>
              <w:spacing w:after="0"/>
              <w:rPr>
                <w:sz w:val="20"/>
                <w:szCs w:val="20"/>
                <w:color w:val="auto"/>
              </w:rPr>
            </w:pPr>
            <w:r>
              <w:rPr>
                <w:rFonts w:ascii="Arial" w:cs="Arial" w:eastAsia="Arial" w:hAnsi="Arial"/>
                <w:sz w:val="18"/>
                <w:szCs w:val="18"/>
                <w:color w:val="auto"/>
              </w:rPr>
              <w:t>Regarding Hedging Activities:</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Applicable</w:t>
            </w:r>
          </w:p>
        </w:tc>
      </w:tr>
      <w:tr>
        <w:trPr>
          <w:trHeight w:val="432"/>
        </w:trPr>
        <w:tc>
          <w:tcPr>
            <w:tcW w:w="3940" w:type="dxa"/>
            <w:vAlign w:val="bottom"/>
          </w:tcPr>
          <w:p>
            <w:pPr>
              <w:ind w:left="660"/>
              <w:spacing w:after="0"/>
              <w:rPr>
                <w:sz w:val="20"/>
                <w:szCs w:val="20"/>
                <w:color w:val="auto"/>
              </w:rPr>
            </w:pPr>
            <w:r>
              <w:rPr>
                <w:rFonts w:ascii="Arial" w:cs="Arial" w:eastAsia="Arial" w:hAnsi="Arial"/>
                <w:sz w:val="18"/>
                <w:szCs w:val="18"/>
                <w:color w:val="auto"/>
              </w:rPr>
              <w:t>Additional Acknowledgments:</w:t>
            </w:r>
          </w:p>
        </w:tc>
        <w:tc>
          <w:tcPr>
            <w:tcW w:w="7300" w:type="dxa"/>
            <w:vAlign w:val="bottom"/>
            <w:gridSpan w:val="2"/>
          </w:tcPr>
          <w:p>
            <w:pPr>
              <w:ind w:left="280"/>
              <w:spacing w:after="0"/>
              <w:rPr>
                <w:sz w:val="20"/>
                <w:szCs w:val="20"/>
                <w:color w:val="auto"/>
              </w:rPr>
            </w:pPr>
            <w:r>
              <w:rPr>
                <w:rFonts w:ascii="Arial" w:cs="Arial" w:eastAsia="Arial" w:hAnsi="Arial"/>
                <w:sz w:val="18"/>
                <w:szCs w:val="18"/>
                <w:color w:val="auto"/>
              </w:rPr>
              <w:t>Applicable</w:t>
            </w:r>
          </w:p>
        </w:tc>
      </w:tr>
      <w:tr>
        <w:trPr>
          <w:trHeight w:val="648"/>
        </w:trPr>
        <w:tc>
          <w:tcPr>
            <w:tcW w:w="3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908"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4.</w:t>
            </w: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Calculation Agent.</w:t>
            </w:r>
          </w:p>
        </w:tc>
        <w:tc>
          <w:tcPr>
            <w:tcW w:w="8080" w:type="dxa"/>
            <w:vAlign w:val="bottom"/>
          </w:tcPr>
          <w:p>
            <w:pPr>
              <w:ind w:left="1060"/>
              <w:spacing w:after="0"/>
              <w:rPr>
                <w:sz w:val="20"/>
                <w:szCs w:val="20"/>
                <w:color w:val="auto"/>
              </w:rPr>
            </w:pPr>
            <w:r>
              <w:rPr>
                <w:rFonts w:ascii="Arial" w:cs="Arial" w:eastAsia="Arial" w:hAnsi="Arial"/>
                <w:sz w:val="18"/>
                <w:szCs w:val="18"/>
                <w:color w:val="auto"/>
                <w:w w:val="91"/>
              </w:rPr>
              <w:t>Dealer, whose adjustments, determinations and calculations shall be made in good faith and in a</w:t>
            </w:r>
          </w:p>
        </w:tc>
      </w:tr>
      <w:tr>
        <w:trPr>
          <w:trHeight w:val="222"/>
        </w:trPr>
        <w:tc>
          <w:tcPr>
            <w:tcW w:w="66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8080" w:type="dxa"/>
            <w:vAlign w:val="bottom"/>
          </w:tcPr>
          <w:p>
            <w:pPr>
              <w:ind w:left="1060"/>
              <w:spacing w:after="0"/>
              <w:rPr>
                <w:sz w:val="20"/>
                <w:szCs w:val="20"/>
                <w:color w:val="auto"/>
              </w:rPr>
            </w:pPr>
            <w:r>
              <w:rPr>
                <w:rFonts w:ascii="Arial" w:cs="Arial" w:eastAsia="Arial" w:hAnsi="Arial"/>
                <w:sz w:val="18"/>
                <w:szCs w:val="18"/>
                <w:color w:val="auto"/>
                <w:w w:val="99"/>
              </w:rPr>
              <w:t xml:space="preserve">commercially reasonable manner;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following the occurrence and during the</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80" w:type="dxa"/>
            <w:vAlign w:val="bottom"/>
          </w:tcPr>
          <w:p>
            <w:pPr>
              <w:ind w:left="1060"/>
              <w:spacing w:after="0"/>
              <w:rPr>
                <w:sz w:val="20"/>
                <w:szCs w:val="20"/>
                <w:color w:val="auto"/>
              </w:rPr>
            </w:pPr>
            <w:r>
              <w:rPr>
                <w:rFonts w:ascii="Arial" w:cs="Arial" w:eastAsia="Arial" w:hAnsi="Arial"/>
                <w:sz w:val="18"/>
                <w:szCs w:val="18"/>
                <w:color w:val="auto"/>
                <w:w w:val="94"/>
              </w:rPr>
              <w:t>continuance of an Event of Default of the type described in Section 5(a)(vii) of the Agreement</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80" w:type="dxa"/>
            <w:vAlign w:val="bottom"/>
          </w:tcPr>
          <w:p>
            <w:pPr>
              <w:ind w:left="1060"/>
              <w:spacing w:after="0"/>
              <w:rPr>
                <w:sz w:val="20"/>
                <w:szCs w:val="20"/>
                <w:color w:val="auto"/>
              </w:rPr>
            </w:pPr>
            <w:r>
              <w:rPr>
                <w:rFonts w:ascii="Arial" w:cs="Arial" w:eastAsia="Arial" w:hAnsi="Arial"/>
                <w:sz w:val="18"/>
                <w:szCs w:val="18"/>
                <w:color w:val="auto"/>
                <w:w w:val="93"/>
              </w:rPr>
              <w:t>with respect to which Dealer is the sole Defaulting Party, if the Calculation Agent fails to timely</w:t>
            </w:r>
          </w:p>
        </w:tc>
      </w:tr>
      <w:tr>
        <w:trPr>
          <w:trHeight w:val="230"/>
        </w:trPr>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80" w:type="dxa"/>
            <w:vAlign w:val="bottom"/>
          </w:tcPr>
          <w:p>
            <w:pPr>
              <w:ind w:left="1060"/>
              <w:spacing w:after="0"/>
              <w:rPr>
                <w:sz w:val="20"/>
                <w:szCs w:val="20"/>
                <w:color w:val="auto"/>
              </w:rPr>
            </w:pPr>
            <w:r>
              <w:rPr>
                <w:rFonts w:ascii="Arial" w:cs="Arial" w:eastAsia="Arial" w:hAnsi="Arial"/>
                <w:sz w:val="18"/>
                <w:szCs w:val="18"/>
                <w:color w:val="auto"/>
                <w:w w:val="91"/>
              </w:rPr>
              <w:t>make any calculation, adjustment or determination required to be made by the Calculation Agent</w:t>
            </w:r>
          </w:p>
        </w:tc>
      </w:tr>
    </w:tbl>
    <w:p>
      <w:pPr>
        <w:jc w:val="both"/>
        <w:ind w:left="4220"/>
        <w:spacing w:after="0" w:line="266" w:lineRule="auto"/>
        <w:rPr>
          <w:sz w:val="20"/>
          <w:szCs w:val="20"/>
          <w:color w:val="auto"/>
        </w:rPr>
      </w:pPr>
      <w:r>
        <w:rPr>
          <w:rFonts w:ascii="Arial" w:cs="Arial" w:eastAsia="Arial" w:hAnsi="Arial"/>
          <w:sz w:val="17"/>
          <w:szCs w:val="17"/>
          <w:color w:val="auto"/>
        </w:rPr>
        <w:t>hereunder or to perform any obligation of the Calculation Agent hereunder and such failure continues for five (5) Exchange Business Days following notice to the Calculation Agent by Company of such failure, Company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(or, if earlier, the date on which such Event of Default is no longer continuing), as the Calculation Agent. Following any determination, adjustment or calculation by the Calculation Agent hereunder, upon a request by Company, the Calculation Agent shall promptly (but in any event within five Scheduled Trading Days) provide to Company by e-mail to the e-mail address provided by Company in such request a report (in a commonly used file format for the storage and manipulation of financial data) displaying in reasonable detail the basis for such assumptions used in making such determination, adjustment or calculation), it being understood that the Calculation Agent shall not be obligated to disclose any proprietary models used by it for such determination, adjustment or calculation or any information that may be proprietary or confidential or subject to an obligation not to disclose such information.</w:t>
      </w:r>
    </w:p>
    <w:p>
      <w:pPr>
        <w:spacing w:after="0" w:line="187"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right="7360" w:hanging="644"/>
        <w:spacing w:after="0" w:line="500"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Account for payments to Company: To be advised.</w:t>
      </w:r>
    </w:p>
    <w:p>
      <w:pPr>
        <w:spacing w:after="0" w:line="1" w:lineRule="exact"/>
        <w:rPr>
          <w:rFonts w:ascii="Arial" w:cs="Arial" w:eastAsia="Arial" w:hAnsi="Arial"/>
          <w:sz w:val="18"/>
          <w:szCs w:val="18"/>
          <w:color w:val="auto"/>
        </w:rPr>
      </w:pPr>
    </w:p>
    <w:p>
      <w:pPr>
        <w:ind w:left="1300" w:right="6520"/>
        <w:spacing w:after="0" w:line="500" w:lineRule="auto"/>
        <w:rPr>
          <w:rFonts w:ascii="Arial" w:cs="Arial" w:eastAsia="Arial" w:hAnsi="Arial"/>
          <w:sz w:val="18"/>
          <w:szCs w:val="18"/>
          <w:color w:val="auto"/>
        </w:rPr>
      </w:pPr>
      <w:r>
        <w:rPr>
          <w:rFonts w:ascii="Arial" w:cs="Arial" w:eastAsia="Arial" w:hAnsi="Arial"/>
          <w:sz w:val="18"/>
          <w:szCs w:val="18"/>
          <w:color w:val="auto"/>
        </w:rPr>
        <w:t>Account for delivery of Shares from Company: To be advised.</w:t>
      </w:r>
    </w:p>
    <w:p>
      <w:pPr>
        <w:spacing w:after="0" w:line="1" w:lineRule="exact"/>
        <w:rPr>
          <w:rFonts w:ascii="Arial" w:cs="Arial" w:eastAsia="Arial" w:hAnsi="Arial"/>
          <w:sz w:val="18"/>
          <w:szCs w:val="18"/>
          <w:color w:val="auto"/>
        </w:rPr>
      </w:pPr>
    </w:p>
    <w:p>
      <w:pPr>
        <w:ind w:left="1300" w:right="7580" w:hanging="644"/>
        <w:spacing w:after="0" w:line="500"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Account for payments to Dealer: [______]</w:t>
      </w:r>
    </w:p>
    <w:p>
      <w:pPr>
        <w:spacing w:after="0" w:line="1" w:lineRule="exact"/>
        <w:rPr>
          <w:rFonts w:ascii="Arial" w:cs="Arial" w:eastAsia="Arial" w:hAnsi="Arial"/>
          <w:sz w:val="18"/>
          <w:szCs w:val="18"/>
          <w:color w:val="auto"/>
        </w:rPr>
      </w:pPr>
    </w:p>
    <w:p>
      <w:pPr>
        <w:ind w:left="1300" w:right="6960"/>
        <w:spacing w:after="0" w:line="498" w:lineRule="auto"/>
        <w:rPr>
          <w:rFonts w:ascii="Arial" w:cs="Arial" w:eastAsia="Arial" w:hAnsi="Arial"/>
          <w:sz w:val="18"/>
          <w:szCs w:val="18"/>
          <w:color w:val="auto"/>
        </w:rPr>
      </w:pPr>
      <w:r>
        <w:rPr>
          <w:rFonts w:ascii="Arial" w:cs="Arial" w:eastAsia="Arial" w:hAnsi="Arial"/>
          <w:sz w:val="18"/>
          <w:szCs w:val="18"/>
          <w:color w:val="auto"/>
        </w:rPr>
        <w:t>Account for delivery of Shares to Dealer: To be advised.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Offices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Office of Company for the Transaction is: Inapplicable, Company is not a Multibranch Party.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Office of Dealer for the Transaction is: [______]</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Address for notices or communications to Company:</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Cracker Barrel Old Country Store, Inc.</w:t>
      </w:r>
    </w:p>
    <w:p>
      <w:pPr>
        <w:spacing w:after="0" w:line="23" w:lineRule="exact"/>
        <w:rPr>
          <w:rFonts w:ascii="Arial" w:cs="Arial" w:eastAsia="Arial" w:hAnsi="Arial"/>
          <w:sz w:val="18"/>
          <w:szCs w:val="18"/>
          <w:color w:val="auto"/>
        </w:rPr>
      </w:pPr>
    </w:p>
    <w:p>
      <w:pPr>
        <w:ind w:left="1300" w:right="8440"/>
        <w:spacing w:after="0" w:line="265" w:lineRule="auto"/>
        <w:rPr>
          <w:rFonts w:ascii="Arial" w:cs="Arial" w:eastAsia="Arial" w:hAnsi="Arial"/>
          <w:sz w:val="18"/>
          <w:szCs w:val="18"/>
          <w:color w:val="auto"/>
        </w:rPr>
      </w:pPr>
      <w:r>
        <w:rPr>
          <w:rFonts w:ascii="Arial" w:cs="Arial" w:eastAsia="Arial" w:hAnsi="Arial"/>
          <w:sz w:val="17"/>
          <w:szCs w:val="17"/>
          <w:color w:val="auto"/>
        </w:rPr>
        <w:t>305 Hartmann Drive P.O. Box 787</w:t>
      </w:r>
    </w:p>
    <w:p>
      <w:pPr>
        <w:ind w:left="1300"/>
        <w:spacing w:after="0"/>
        <w:rPr>
          <w:rFonts w:ascii="Arial" w:cs="Arial" w:eastAsia="Arial" w:hAnsi="Arial"/>
          <w:sz w:val="18"/>
          <w:szCs w:val="18"/>
          <w:color w:val="auto"/>
        </w:rPr>
      </w:pPr>
      <w:r>
        <w:rPr>
          <w:rFonts w:ascii="Arial" w:cs="Arial" w:eastAsia="Arial" w:hAnsi="Arial"/>
          <w:sz w:val="18"/>
          <w:szCs w:val="18"/>
          <w:color w:val="auto"/>
        </w:rPr>
        <w:t>Lebanon, Tennessee 37088-0787</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Attention:</w:t>
      </w:r>
      <w:r>
        <w:rPr>
          <w:rFonts w:ascii="Arial" w:cs="Arial" w:eastAsia="Arial" w:hAnsi="Arial"/>
          <w:sz w:val="16"/>
          <w:szCs w:val="16"/>
          <w:color w:val="auto"/>
        </w:rPr>
        <w:t>[______]</w:t>
      </w:r>
    </w:p>
    <w:p>
      <w:pPr>
        <w:spacing w:after="0" w:line="21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Telephone No.:  [______]</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Facsimile No.:   [______]</w:t>
      </w:r>
    </w:p>
    <w:p>
      <w:pPr>
        <w:spacing w:after="0" w:line="21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Legal Entity Identifier (LEI) for Company is [8P4PHQIUWPIECBFBW745]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5" w:name="page146"/>
    <w:bookmarkEnd w:id="145"/>
    <w:p>
      <w:pPr>
        <w:ind w:left="1300" w:right="6340" w:hanging="644"/>
        <w:spacing w:after="0" w:line="498" w:lineRule="auto"/>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Address for notices or communications to Dealer: [______]</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Company hereby represents and warrants to Dealer on the date hereof, on and as of the Premium Payment Date and, in the case of the representations in Section 8(d), at all times until termination of the Transaction, that:</w:t>
      </w:r>
    </w:p>
    <w:p>
      <w:pPr>
        <w:spacing w:after="0" w:line="170" w:lineRule="exact"/>
        <w:rPr>
          <w:rFonts w:ascii="Arial" w:cs="Arial" w:eastAsia="Arial" w:hAnsi="Arial"/>
          <w:sz w:val="18"/>
          <w:szCs w:val="18"/>
          <w:b w:val="1"/>
          <w:bCs w:val="1"/>
          <w:color w:val="auto"/>
        </w:rPr>
      </w:pPr>
    </w:p>
    <w:p>
      <w:pPr>
        <w:jc w:val="both"/>
        <w:ind w:left="1300" w:hanging="644"/>
        <w:spacing w:after="0" w:line="290" w:lineRule="auto"/>
        <w:tabs>
          <w:tab w:leader="none" w:pos="13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lieu of the representations set forth in Section 3(a)(ii) of the Agreement, 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65" w:lineRule="exact"/>
        <w:rPr>
          <w:rFonts w:ascii="Arial" w:cs="Arial" w:eastAsia="Arial" w:hAnsi="Arial"/>
          <w:sz w:val="16"/>
          <w:szCs w:val="16"/>
          <w:color w:val="auto"/>
        </w:rPr>
      </w:pPr>
    </w:p>
    <w:p>
      <w:pPr>
        <w:jc w:val="both"/>
        <w:ind w:left="1300" w:hanging="644"/>
        <w:spacing w:after="0" w:line="272" w:lineRule="auto"/>
        <w:tabs>
          <w:tab w:leader="none" w:pos="130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In lieu of the representation set forth in Section 3(a)(iii) of the Agreement, neither the execution and delivery of this Confirmation nor the incurrence or performance of obligations of Company hereunder will conflict with or result in a breach of the certificate of incorporation or by-laws (or any equivalent documents) of Company, or any applicable law or regulation, or any order, writ, injunction or decree of any court or governmental authority or agency, or any agreement or instrument filed as an exhibit to Company’s Annual Report on Form 10-K for the year ended July 31, 2020,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177"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lieu of the representation set forth in Section 3(a)(iv) of the agreement, to Company’s knowledge, 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state securities laws.</w:t>
      </w:r>
    </w:p>
    <w:p>
      <w:pPr>
        <w:spacing w:after="0" w:line="182"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 number of Shares equal to the Maximum Number of Shares (as defined below) (the “</w:t>
      </w:r>
      <w:r>
        <w:rPr>
          <w:rFonts w:ascii="Arial" w:cs="Arial" w:eastAsia="Arial" w:hAnsi="Arial"/>
          <w:sz w:val="17"/>
          <w:szCs w:val="17"/>
          <w:b w:val="1"/>
          <w:bCs w:val="1"/>
          <w:color w:val="auto"/>
        </w:rPr>
        <w:t>Warrant Shares</w:t>
      </w:r>
      <w:r>
        <w:rPr>
          <w:rFonts w:ascii="Arial" w:cs="Arial" w:eastAsia="Arial" w:hAnsi="Arial"/>
          <w:sz w:val="17"/>
          <w:szCs w:val="17"/>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fully-paid and non-assessable, and the issuance of the Warrant Shares will not be subject to any preemptive or similar rights. Company represents and warrants to Dealer that the Maximum Number of Shares is equal to or less than the number of authorized but unissued Shares of Company that are not reserved for future issuance in connection with transactions in the Shares (other than the Transaction) on the date of the determination of the Maximum Number of Shares (such Shares, the “</w:t>
      </w:r>
      <w:r>
        <w:rPr>
          <w:rFonts w:ascii="Arial" w:cs="Arial" w:eastAsia="Arial" w:hAnsi="Arial"/>
          <w:sz w:val="17"/>
          <w:szCs w:val="17"/>
          <w:b w:val="1"/>
          <w:bCs w:val="1"/>
          <w:color w:val="auto"/>
        </w:rPr>
        <w:t>Available Shares</w:t>
      </w:r>
      <w:r>
        <w:rPr>
          <w:rFonts w:ascii="Arial" w:cs="Arial" w:eastAsia="Arial" w:hAnsi="Arial"/>
          <w:sz w:val="17"/>
          <w:szCs w:val="17"/>
          <w:color w:val="auto"/>
        </w:rPr>
        <w:t>”). Company shall not take any action to decrease the number of Available Shares below the Maximum Number of Shares without Dealer’s prior consent (such consent not to be unreasonably withheld, conditioned or delayed).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6" w:name="page147"/>
    <w:bookmarkEnd w:id="146"/>
    <w:p>
      <w:pPr>
        <w:ind w:left="1300" w:hanging="644"/>
        <w:spacing w:after="0" w:line="277"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Company is not and, after consummation of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Company is an “eligible contract participant” (as such term is defined in Section 1a(18) of the Commodity Exchange Act, as amended, other than a person that is an eligible contract participant under Section 1a(18)(C) of the Commodity Exchange Act).</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Company and each of its affiliates is not, on the date hereof, in possession of any material non-public information with respect to Company or the Shares.</w:t>
      </w:r>
    </w:p>
    <w:p>
      <w:pPr>
        <w:spacing w:after="0" w:line="170"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To Company’s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Company makes no representation or warranty regarding (i) any such requirement that is applicable generally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of, or transactions in, common equity securities of a U.S. incorporated corporation listed on the Exchange by Dealer or any of its affiliates solely as a result of it or any of such affiliates being a financial institution or broker-dealer.</w:t>
      </w:r>
    </w:p>
    <w:p>
      <w:pPr>
        <w:spacing w:after="0" w:line="177"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assets of Company do not constitute “plan assets” under the Employee Retirement Income Security Act of 1974, as amended, the Department of Labor Regulations promulgated thereunder or similar law.</w:t>
      </w:r>
    </w:p>
    <w:p>
      <w:pPr>
        <w:spacing w:after="0" w:line="170"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Company acknowledges that the board of directors of Company has granted the approval necessary to cause the restrictions set forth in Tennessee Code Annotated Section 48-103 et seq. (the “</w:t>
      </w:r>
      <w:r>
        <w:rPr>
          <w:rFonts w:ascii="Arial" w:cs="Arial" w:eastAsia="Arial" w:hAnsi="Arial"/>
          <w:sz w:val="18"/>
          <w:szCs w:val="18"/>
          <w:b w:val="1"/>
          <w:bCs w:val="1"/>
          <w:color w:val="auto"/>
        </w:rPr>
        <w:t>Business Combinations Statute</w:t>
      </w:r>
      <w:r>
        <w:rPr>
          <w:rFonts w:ascii="Arial" w:cs="Arial" w:eastAsia="Arial" w:hAnsi="Arial"/>
          <w:sz w:val="18"/>
          <w:szCs w:val="18"/>
          <w:color w:val="auto"/>
        </w:rPr>
        <w:t>”) to be inapplicable to the Transaction, including, without limitation, transactions in, or linked to, Company’s securities to be effected by Dealer in connection with hedging the Transaction, and as a result neither Dealer nor any of its affiliates or associates shall be subject to the restrictions in the Business Combinations Statute as an “interested shareholder” of Company by virtue of (i) its entry into the Transaction or (ii) any act that Dealer may take in furtherance of the Transaction (including without limitation the hedging transactions to be effected by Dealer or its affiliates in connection with the Transaction).</w:t>
      </w:r>
    </w:p>
    <w:p>
      <w:pPr>
        <w:spacing w:after="0" w:line="194"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Company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160"/>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Opinions</w:t>
      </w:r>
      <w:r>
        <w:rPr>
          <w:rFonts w:ascii="Arial" w:cs="Arial" w:eastAsia="Arial" w:hAnsi="Arial"/>
          <w:sz w:val="18"/>
          <w:szCs w:val="18"/>
          <w:color w:val="auto"/>
        </w:rPr>
        <w:t>. Company shall deliver to Dealer an opinion of counsel, dated as of the Premium Payment Date, with respect to the matters 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forth in Sections 8(a) through (e) of this Confirmation;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opinion of counsel may contain customary exceptions and qualifications. Delivery of such opinion to Dealer shall be a condition precedent for the purpose of Section 2(a)(iii) of the Agreement with respect to each obligation of Dealer under Section 2(a)(i) of the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left="644" w:hanging="644"/>
        <w:spacing w:after="0"/>
        <w:tabs>
          <w:tab w:leader="none" w:pos="644"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[Reserved</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i w:val="1"/>
          <w:iCs w:val="1"/>
          <w:color w:val="auto"/>
        </w:rPr>
      </w:pPr>
    </w:p>
    <w:p>
      <w:pPr>
        <w:jc w:val="both"/>
        <w:ind w:left="644" w:hanging="644"/>
        <w:spacing w:after="0" w:line="259"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i w:val="1"/>
          <w:iCs w:val="1"/>
          <w:u w:val="single" w:color="auto"/>
          <w:color w:val="auto"/>
        </w:rPr>
        <w:t>Regulation M</w:t>
      </w:r>
      <w:r>
        <w:rPr>
          <w:rFonts w:ascii="Arial" w:cs="Arial" w:eastAsia="Arial" w:hAnsi="Arial"/>
          <w:sz w:val="18"/>
          <w:szCs w:val="18"/>
          <w:color w:val="auto"/>
        </w:rPr>
        <w:t>. Company is not on the Trade Date engaged in a distribution, as such term is used in Regulation M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186" w:lineRule="exact"/>
        <w:rPr>
          <w:rFonts w:ascii="Arial" w:cs="Arial" w:eastAsia="Arial" w:hAnsi="Arial"/>
          <w:sz w:val="18"/>
          <w:szCs w:val="18"/>
          <w:color w:val="auto"/>
        </w:rPr>
      </w:pPr>
    </w:p>
    <w:p>
      <w:pPr>
        <w:jc w:val="both"/>
        <w:ind w:left="644" w:right="20" w:hanging="644"/>
        <w:spacing w:after="0" w:line="263"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i w:val="1"/>
          <w:iCs w:val="1"/>
          <w:u w:val="single" w:color="auto"/>
          <w:color w:val="auto"/>
        </w:rPr>
        <w:t>No Manipulation</w:t>
      </w:r>
      <w:r>
        <w:rPr>
          <w:rFonts w:ascii="Arial" w:cs="Arial" w:eastAsia="Arial" w:hAnsi="Arial"/>
          <w:sz w:val="18"/>
          <w:szCs w:val="18"/>
          <w:color w:val="auto"/>
        </w:rPr>
        <w:t>. Company is not entering into the Transaction to create actual or apparent trading activity in the Shares (or any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the Shares) or to raise or depress or otherwise manipulate the price of the Shares (or any security convertible into or exchangeable for the Shares) or otherwise in violation of the Exchange Act.</w:t>
      </w:r>
    </w:p>
    <w:p>
      <w:pPr>
        <w:spacing w:after="0" w:line="183" w:lineRule="exact"/>
        <w:rPr>
          <w:rFonts w:ascii="Arial" w:cs="Arial" w:eastAsia="Arial" w:hAnsi="Arial"/>
          <w:sz w:val="18"/>
          <w:szCs w:val="18"/>
          <w:color w:val="auto"/>
        </w:rPr>
      </w:pPr>
    </w:p>
    <w:p>
      <w:pPr>
        <w:jc w:val="both"/>
        <w:ind w:left="644" w:hanging="644"/>
        <w:spacing w:after="0" w:line="283" w:lineRule="auto"/>
        <w:tabs>
          <w:tab w:leader="none" w:pos="644" w:val="left"/>
        </w:tabs>
        <w:numPr>
          <w:ilvl w:val="0"/>
          <w:numId w:val="161"/>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 or Assignment</w:t>
      </w:r>
      <w:r>
        <w:rPr>
          <w:rFonts w:ascii="Arial" w:cs="Arial" w:eastAsia="Arial" w:hAnsi="Arial"/>
          <w:sz w:val="16"/>
          <w:szCs w:val="16"/>
          <w:color w:val="auto"/>
        </w:rPr>
        <w:t>. Company may not transfer any of its rights or obligations under the Transaction without the prior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Dealer. Dealer may, (i) without Company’s consent, transfer or assign all or any part of its rights or obligations under the Transaction to any affiliate of Dealer, and (ii) with Company’s consent (such consent not to be unreasonably withheld), transfer or assign all or any part of its rights or obligations under the Transaction to any third party;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(x) Company will not be required to pay the transferee on any payment date an amount under Section 2(d)(i)(4) of the Agreement greater than an amount that Company would have been required to pay to Dealer in the absence of such transfer or assignment as determined as of the date of such transfer or assignment, and (y) Dealer shall have caused the transferee to make such Payee Tax Representations and to provide such tax documentation as may be reasonably requested by Company, including to permit Company to determine that the result described in the immediately preceding clause (x) of this proviso will not occur upon or after such transfer and assignment. If at any time at which (A) the Section 16 Percentage exceeds 8.5% or (B) the Share Amount exceeds the Applicable Share Limit (if any applies) (any such condition described in clauses (A) or (B),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9(i) shall apply to any amount that is payable by Company to Dealer pursuant to this sentence as if Company was not the Affected Party). The “</w:t>
      </w:r>
      <w:r>
        <w:rPr>
          <w:rFonts w:ascii="Arial" w:cs="Arial" w:eastAsia="Arial" w:hAnsi="Arial"/>
          <w:sz w:val="16"/>
          <w:szCs w:val="16"/>
          <w:b w:val="1"/>
          <w:bCs w:val="1"/>
          <w:color w:val="auto"/>
        </w:rPr>
        <w:t>Section 16</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number of Shares that Dealer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as of any day is the number of Shares that Dealer and any person whose ownership position would be aggregated with that of</w:t>
      </w:r>
      <w:r>
        <w:rPr>
          <w:rFonts w:ascii="Arial" w:cs="Arial" w:eastAsia="Arial" w:hAnsi="Arial"/>
          <w:sz w:val="16"/>
          <w:szCs w:val="16"/>
          <w:b w:val="1"/>
          <w:bCs w:val="1"/>
          <w:color w:val="auto"/>
        </w:rPr>
        <w:t xml:space="preserve"> </w:t>
      </w:r>
      <w:r>
        <w:rPr>
          <w:rFonts w:ascii="Arial" w:cs="Arial" w:eastAsia="Arial" w:hAnsi="Arial"/>
          <w:sz w:val="16"/>
          <w:szCs w:val="16"/>
          <w:color w:val="auto"/>
        </w:rPr>
        <w:t>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Company that are, in each case, applicable to ownership of Shares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could give rise to reporting or registration obligations (except for any filings of Form 13F, Schedule 13D or Schedule 13G under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8" w:name="page149"/>
    <w:bookmarkEnd w:id="148"/>
    <w:p>
      <w:pPr>
        <w:jc w:val="both"/>
        <w:ind w:left="644" w:hanging="644"/>
        <w:spacing w:after="0" w:line="257" w:lineRule="auto"/>
        <w:tabs>
          <w:tab w:leader="none" w:pos="644" w:val="left"/>
        </w:tabs>
        <w:numPr>
          <w:ilvl w:val="0"/>
          <w:numId w:val="162"/>
        </w:numPr>
        <w:rPr>
          <w:rFonts w:ascii="Arial" w:cs="Arial" w:eastAsia="Arial" w:hAnsi="Arial"/>
          <w:sz w:val="18"/>
          <w:szCs w:val="18"/>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If at any time during the period from and including the Effective Date, to and including the last Expiration Date, an ex-dividend date for a cash dividend occurs with respect to the Shares, then the Calculation Agent will adjust, in good faith and in a commercially reasonable manner, any of the Strike Price, Number of Warrants, Daily Number of Warrants and/or any other variable relevant to the exercise, settlement or payment of the Transaction to preserve the fair value of the Warrants to Dealer after taking into account such dividend.</w:t>
      </w:r>
    </w:p>
    <w:p>
      <w:pPr>
        <w:spacing w:after="0" w:line="187" w:lineRule="exact"/>
        <w:rPr>
          <w:rFonts w:ascii="Arial" w:cs="Arial" w:eastAsia="Arial" w:hAnsi="Arial"/>
          <w:sz w:val="18"/>
          <w:szCs w:val="18"/>
          <w:color w:val="auto"/>
        </w:rPr>
      </w:pPr>
    </w:p>
    <w:p>
      <w:pPr>
        <w:ind w:left="644" w:hanging="644"/>
        <w:spacing w:after="0"/>
        <w:tabs>
          <w:tab w:leader="none" w:pos="644" w:val="left"/>
        </w:tabs>
        <w:numPr>
          <w:ilvl w:val="0"/>
          <w:numId w:val="162"/>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4" w:hanging="976"/>
        <w:spacing w:after="0"/>
        <w:tabs>
          <w:tab w:leader="none" w:pos="162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Amendments to the Equity Definitions:</w:t>
      </w:r>
    </w:p>
    <w:p>
      <w:pPr>
        <w:spacing w:after="0" w:line="225" w:lineRule="exact"/>
        <w:rPr>
          <w:rFonts w:ascii="Arial" w:cs="Arial" w:eastAsia="Arial" w:hAnsi="Arial"/>
          <w:sz w:val="18"/>
          <w:szCs w:val="18"/>
          <w:color w:val="auto"/>
        </w:rPr>
      </w:pPr>
    </w:p>
    <w:p>
      <w:pPr>
        <w:ind w:left="1944" w:hanging="648"/>
        <w:spacing w:after="0" w:line="308" w:lineRule="auto"/>
        <w:tabs>
          <w:tab w:leader="none" w:pos="1944" w:val="left"/>
        </w:tabs>
        <w:numPr>
          <w:ilvl w:val="2"/>
          <w:numId w:val="162"/>
        </w:numPr>
        <w:rPr>
          <w:rFonts w:ascii="Arial" w:cs="Arial" w:eastAsia="Arial" w:hAnsi="Arial"/>
          <w:sz w:val="17"/>
          <w:szCs w:val="17"/>
          <w:color w:val="auto"/>
        </w:rPr>
      </w:pPr>
      <w:r>
        <w:rPr>
          <w:rFonts w:ascii="Arial" w:cs="Arial" w:eastAsia="Arial" w:hAnsi="Arial"/>
          <w:sz w:val="17"/>
          <w:szCs w:val="17"/>
          <w:color w:val="auto"/>
        </w:rPr>
        <w:t>Section 11.2(a) of the Equity Definitions is hereby amended by deleting the words “a diluting or concentrative” and replacing them with the word “an”; and adding the phrase “or Warrants” at the end of the sentence.</w:t>
      </w:r>
    </w:p>
    <w:p>
      <w:pPr>
        <w:spacing w:after="0" w:line="146" w:lineRule="exact"/>
        <w:rPr>
          <w:rFonts w:ascii="Arial" w:cs="Arial" w:eastAsia="Arial" w:hAnsi="Arial"/>
          <w:sz w:val="17"/>
          <w:szCs w:val="17"/>
          <w:color w:val="auto"/>
        </w:rPr>
      </w:pPr>
    </w:p>
    <w:p>
      <w:pPr>
        <w:jc w:val="both"/>
        <w:ind w:left="1944" w:hanging="648"/>
        <w:spacing w:after="0" w:line="254" w:lineRule="auto"/>
        <w:tabs>
          <w:tab w:leader="none" w:pos="194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Section 11.2(c) of the Equity Definitions is hereby amended by (w) replacing the words “a diluting or concentrative” with “a material”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194" w:lineRule="exact"/>
        <w:rPr>
          <w:rFonts w:ascii="Arial" w:cs="Arial" w:eastAsia="Arial" w:hAnsi="Arial"/>
          <w:sz w:val="18"/>
          <w:szCs w:val="18"/>
          <w:color w:val="auto"/>
        </w:rPr>
      </w:pPr>
    </w:p>
    <w:p>
      <w:pPr>
        <w:jc w:val="both"/>
        <w:ind w:left="1944" w:hanging="648"/>
        <w:spacing w:after="0" w:line="255" w:lineRule="auto"/>
        <w:tabs>
          <w:tab w:leader="none" w:pos="194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 xml:space="preserve">Section 11.2(e)(vii) of the Equity Definitions is hereby amended by deleting the words “that may have a diluting or concentrative effect on the theoretical value of” and replacing them with the words “that is the result of a corporate action by Company that has a material economic effect on”; and adding the phrase “or Warrants;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event is not based on an observable market, other than the market for the Company’s own stock or an observable index, other than an index calculated and measured solely by reference to the Company’s own operations” at the end of the sentence.</w:t>
      </w:r>
    </w:p>
    <w:p>
      <w:pPr>
        <w:spacing w:after="0" w:line="192" w:lineRule="exact"/>
        <w:rPr>
          <w:rFonts w:ascii="Arial" w:cs="Arial" w:eastAsia="Arial" w:hAnsi="Arial"/>
          <w:sz w:val="18"/>
          <w:szCs w:val="18"/>
          <w:color w:val="auto"/>
        </w:rPr>
      </w:pPr>
    </w:p>
    <w:p>
      <w:pPr>
        <w:jc w:val="both"/>
        <w:ind w:left="1944" w:hanging="648"/>
        <w:spacing w:after="0" w:line="259" w:lineRule="auto"/>
        <w:tabs>
          <w:tab w:leader="none" w:pos="194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86" w:lineRule="exact"/>
        <w:rPr>
          <w:rFonts w:ascii="Arial" w:cs="Arial" w:eastAsia="Arial" w:hAnsi="Arial"/>
          <w:sz w:val="18"/>
          <w:szCs w:val="18"/>
          <w:color w:val="auto"/>
        </w:rPr>
      </w:pPr>
    </w:p>
    <w:p>
      <w:pPr>
        <w:ind w:left="1944" w:hanging="648"/>
        <w:spacing w:after="0"/>
        <w:tabs>
          <w:tab w:leader="none" w:pos="194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w:t>
      </w:r>
    </w:p>
    <w:p>
      <w:pPr>
        <w:spacing w:after="0" w:line="225" w:lineRule="exact"/>
        <w:rPr>
          <w:rFonts w:ascii="Arial" w:cs="Arial" w:eastAsia="Arial" w:hAnsi="Arial"/>
          <w:sz w:val="18"/>
          <w:szCs w:val="18"/>
          <w:color w:val="auto"/>
        </w:rPr>
      </w:pPr>
    </w:p>
    <w:p>
      <w:pPr>
        <w:ind w:left="2584" w:right="20" w:hanging="640"/>
        <w:spacing w:after="0" w:line="277" w:lineRule="auto"/>
        <w:tabs>
          <w:tab w:leader="none" w:pos="2584" w:val="left"/>
        </w:tabs>
        <w:numPr>
          <w:ilvl w:val="3"/>
          <w:numId w:val="162"/>
        </w:numPr>
        <w:rPr>
          <w:rFonts w:ascii="Arial" w:cs="Arial" w:eastAsia="Arial" w:hAnsi="Arial"/>
          <w:sz w:val="18"/>
          <w:szCs w:val="18"/>
          <w:color w:val="auto"/>
        </w:rPr>
      </w:pPr>
      <w:r>
        <w:rPr>
          <w:rFonts w:ascii="Arial" w:cs="Arial" w:eastAsia="Arial" w:hAnsi="Arial"/>
          <w:sz w:val="18"/>
          <w:szCs w:val="18"/>
          <w:color w:val="auto"/>
        </w:rPr>
        <w:t>deleting (1) subsection (A) in its entirety, (2) the phrase “or (B)” following subsection (A) and (3) the phrase “in each case” in subsection (B); and</w:t>
      </w:r>
    </w:p>
    <w:p>
      <w:pPr>
        <w:spacing w:after="0" w:line="170" w:lineRule="exact"/>
        <w:rPr>
          <w:rFonts w:ascii="Arial" w:cs="Arial" w:eastAsia="Arial" w:hAnsi="Arial"/>
          <w:sz w:val="18"/>
          <w:szCs w:val="18"/>
          <w:color w:val="auto"/>
        </w:rPr>
      </w:pPr>
    </w:p>
    <w:p>
      <w:pPr>
        <w:ind w:left="2584" w:right="20" w:hanging="640"/>
        <w:spacing w:after="0" w:line="277" w:lineRule="auto"/>
        <w:tabs>
          <w:tab w:leader="none" w:pos="2584" w:val="left"/>
        </w:tabs>
        <w:numPr>
          <w:ilvl w:val="3"/>
          <w:numId w:val="162"/>
        </w:numPr>
        <w:rPr>
          <w:rFonts w:ascii="Arial" w:cs="Arial" w:eastAsia="Arial" w:hAnsi="Arial"/>
          <w:sz w:val="18"/>
          <w:szCs w:val="18"/>
          <w:color w:val="auto"/>
        </w:rPr>
      </w:pPr>
      <w:r>
        <w:rPr>
          <w:rFonts w:ascii="Arial" w:cs="Arial" w:eastAsia="Arial" w:hAnsi="Arial"/>
          <w:sz w:val="18"/>
          <w:szCs w:val="18"/>
          <w:color w:val="auto"/>
        </w:rPr>
        <w:t>replacing the phrase “neither the Non-Hedging Party nor the Lending Party lends Shares” with the phrase “such Lending Party does not lend Shares” in the penultimate sentence.</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9" w:name="page150"/>
    <w:bookmarkEnd w:id="149"/>
    <w:p>
      <w:pPr>
        <w:ind w:left="1480" w:hanging="648"/>
        <w:spacing w:after="0"/>
        <w:tabs>
          <w:tab w:leader="none" w:pos="148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w:t>
      </w:r>
    </w:p>
    <w:p>
      <w:pPr>
        <w:spacing w:after="0" w:line="225" w:lineRule="exact"/>
        <w:rPr>
          <w:rFonts w:ascii="Arial" w:cs="Arial" w:eastAsia="Arial" w:hAnsi="Arial"/>
          <w:sz w:val="18"/>
          <w:szCs w:val="18"/>
          <w:color w:val="auto"/>
        </w:rPr>
      </w:pPr>
    </w:p>
    <w:p>
      <w:pPr>
        <w:ind w:left="2120" w:hanging="640"/>
        <w:spacing w:after="0" w:line="277" w:lineRule="auto"/>
        <w:tabs>
          <w:tab w:leader="none" w:pos="2120" w:val="left"/>
        </w:tabs>
        <w:numPr>
          <w:ilvl w:val="3"/>
          <w:numId w:val="163"/>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 and</w:t>
      </w:r>
    </w:p>
    <w:p>
      <w:pPr>
        <w:spacing w:after="0" w:line="170" w:lineRule="exact"/>
        <w:rPr>
          <w:rFonts w:ascii="Arial" w:cs="Arial" w:eastAsia="Arial" w:hAnsi="Arial"/>
          <w:sz w:val="18"/>
          <w:szCs w:val="18"/>
          <w:color w:val="auto"/>
        </w:rPr>
      </w:pPr>
    </w:p>
    <w:p>
      <w:pPr>
        <w:jc w:val="both"/>
        <w:ind w:left="2120" w:hanging="640"/>
        <w:spacing w:after="0" w:line="259" w:lineRule="auto"/>
        <w:tabs>
          <w:tab w:leader="none" w:pos="2120" w:val="left"/>
        </w:tabs>
        <w:numPr>
          <w:ilvl w:val="3"/>
          <w:numId w:val="163"/>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in a commercially reasonable manner.” and (4) deleting clause (X) in the final sentence.</w:t>
      </w:r>
    </w:p>
    <w:p>
      <w:pPr>
        <w:spacing w:after="0" w:line="186" w:lineRule="exact"/>
        <w:rPr>
          <w:rFonts w:ascii="Arial" w:cs="Arial" w:eastAsia="Arial" w:hAnsi="Arial"/>
          <w:sz w:val="18"/>
          <w:szCs w:val="18"/>
          <w:color w:val="auto"/>
        </w:rPr>
      </w:pPr>
    </w:p>
    <w:p>
      <w:pPr>
        <w:ind w:left="1480" w:hanging="648"/>
        <w:spacing w:after="0"/>
        <w:tabs>
          <w:tab w:leader="none" w:pos="148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Section 12.9(b)(vi) of the Equity Definitions is hereby amended by:</w:t>
      </w:r>
    </w:p>
    <w:p>
      <w:pPr>
        <w:spacing w:after="0" w:line="225" w:lineRule="exact"/>
        <w:rPr>
          <w:rFonts w:ascii="Arial" w:cs="Arial" w:eastAsia="Arial" w:hAnsi="Arial"/>
          <w:sz w:val="18"/>
          <w:szCs w:val="18"/>
          <w:color w:val="auto"/>
        </w:rPr>
      </w:pPr>
    </w:p>
    <w:p>
      <w:pPr>
        <w:ind w:left="2120" w:hanging="640"/>
        <w:spacing w:after="0" w:line="277" w:lineRule="auto"/>
        <w:tabs>
          <w:tab w:leader="none" w:pos="2120" w:val="left"/>
        </w:tabs>
        <w:numPr>
          <w:ilvl w:val="3"/>
          <w:numId w:val="163"/>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 and</w:t>
      </w:r>
    </w:p>
    <w:p>
      <w:pPr>
        <w:spacing w:after="0" w:line="170" w:lineRule="exact"/>
        <w:rPr>
          <w:rFonts w:ascii="Arial" w:cs="Arial" w:eastAsia="Arial" w:hAnsi="Arial"/>
          <w:sz w:val="18"/>
          <w:szCs w:val="18"/>
          <w:color w:val="auto"/>
        </w:rPr>
      </w:pPr>
    </w:p>
    <w:p>
      <w:pPr>
        <w:ind w:left="2120" w:hanging="640"/>
        <w:spacing w:after="0"/>
        <w:tabs>
          <w:tab w:leader="none" w:pos="2120" w:val="left"/>
        </w:tabs>
        <w:numPr>
          <w:ilvl w:val="3"/>
          <w:numId w:val="163"/>
        </w:numPr>
        <w:rPr>
          <w:rFonts w:ascii="Arial" w:cs="Arial" w:eastAsia="Arial" w:hAnsi="Arial"/>
          <w:sz w:val="16"/>
          <w:szCs w:val="16"/>
          <w:color w:val="auto"/>
        </w:rPr>
      </w:pPr>
      <w:r>
        <w:rPr>
          <w:rFonts w:ascii="Arial" w:cs="Arial" w:eastAsia="Arial" w:hAnsi="Arial"/>
          <w:sz w:val="16"/>
          <w:szCs w:val="16"/>
          <w:color w:val="auto"/>
        </w:rPr>
        <w:t>(1) deleting subsection (C) in its entirety, (2) deleting the word “or” immediately preceding subsection (C) and</w:t>
      </w:r>
    </w:p>
    <w:p>
      <w:pPr>
        <w:spacing w:after="0" w:line="46" w:lineRule="exact"/>
        <w:rPr>
          <w:rFonts w:ascii="Arial" w:cs="Arial" w:eastAsia="Arial" w:hAnsi="Arial"/>
          <w:sz w:val="16"/>
          <w:szCs w:val="16"/>
          <w:color w:val="auto"/>
        </w:rPr>
      </w:pPr>
    </w:p>
    <w:p>
      <w:pPr>
        <w:ind w:left="2120" w:firstLine="8"/>
        <w:spacing w:after="0" w:line="323" w:lineRule="auto"/>
        <w:tabs>
          <w:tab w:leader="none" w:pos="2409" w:val="left"/>
        </w:tabs>
        <w:numPr>
          <w:ilvl w:val="4"/>
          <w:numId w:val="163"/>
        </w:numPr>
        <w:rPr>
          <w:rFonts w:ascii="Arial" w:cs="Arial" w:eastAsia="Arial" w:hAnsi="Arial"/>
          <w:sz w:val="16"/>
          <w:szCs w:val="16"/>
          <w:color w:val="auto"/>
        </w:rPr>
      </w:pPr>
      <w:r>
        <w:rPr>
          <w:rFonts w:ascii="Arial" w:cs="Arial" w:eastAsia="Arial" w:hAnsi="Arial"/>
          <w:sz w:val="16"/>
          <w:szCs w:val="16"/>
          <w:color w:val="auto"/>
        </w:rPr>
        <w:t>deleting the final sentence in its entirety and replacing it with the sentence “The Hedging Party will determine the Cancellation Amount payable by one party to the other in a commercially reasonable manner.”</w:t>
      </w:r>
    </w:p>
    <w:p>
      <w:pPr>
        <w:spacing w:after="0" w:line="138" w:lineRule="exact"/>
        <w:rPr>
          <w:rFonts w:ascii="Arial" w:cs="Arial" w:eastAsia="Arial" w:hAnsi="Arial"/>
          <w:sz w:val="16"/>
          <w:szCs w:val="16"/>
          <w:color w:val="auto"/>
        </w:rPr>
      </w:pPr>
    </w:p>
    <w:p>
      <w:pPr>
        <w:jc w:val="both"/>
        <w:ind w:left="620" w:hanging="436"/>
        <w:spacing w:after="0" w:line="284" w:lineRule="auto"/>
        <w:tabs>
          <w:tab w:leader="none" w:pos="6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Confirmation, upon the occurrence of one of the following events, with respect to the Transaction, (1) Dealer shall have the right, in good faith and its commercially reasonable discretion, to designate such event an Additional Termination Event and designate an Early Termination Date pursuant to Section 6(b) of the Agreement, (2) Company shall be deemed the sole Affected Party with respect to such Additional Termination Event and (3) the Transaction, or, at the commercially reasonable election of Dealer, the portion of the Transaction affected by the relevant event, shall be deemed the sole Affected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Dealer so designates an Early Termination Date with respect to a portion of the Transaction,</w:t>
      </w:r>
    </w:p>
    <w:p>
      <w:pPr>
        <w:spacing w:after="0" w:line="4" w:lineRule="exact"/>
        <w:rPr>
          <w:rFonts w:ascii="Arial" w:cs="Arial" w:eastAsia="Arial" w:hAnsi="Arial"/>
          <w:sz w:val="16"/>
          <w:szCs w:val="16"/>
          <w:color w:val="auto"/>
        </w:rPr>
      </w:pPr>
    </w:p>
    <w:p>
      <w:pPr>
        <w:jc w:val="both"/>
        <w:ind w:left="620" w:firstLine="9"/>
        <w:spacing w:after="0" w:line="295" w:lineRule="auto"/>
        <w:tabs>
          <w:tab w:leader="none" w:pos="867"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 payment shall be made pursuant to Section 6 of the Agreement as if an Early Termination Date had been designated in respect of a Transaction having terms identical to the Transaction and a Number of Warrants equal to the number of Warrants included in the terminated portion of the Transaction, and (b) for the avoidance of doubt, the Transaction shall remain in full force and effect except that the Number of Warrants shall be reduced by the number of Warrants included in such terminated portion:</w:t>
      </w:r>
    </w:p>
    <w:p>
      <w:pPr>
        <w:spacing w:after="0" w:line="161" w:lineRule="exact"/>
        <w:rPr>
          <w:rFonts w:ascii="Arial" w:cs="Arial" w:eastAsia="Arial" w:hAnsi="Arial"/>
          <w:sz w:val="16"/>
          <w:szCs w:val="16"/>
          <w:color w:val="auto"/>
        </w:rPr>
      </w:pPr>
    </w:p>
    <w:p>
      <w:pPr>
        <w:jc w:val="both"/>
        <w:ind w:left="1480" w:hanging="648"/>
        <w:spacing w:after="0" w:line="279" w:lineRule="auto"/>
        <w:tabs>
          <w:tab w:leader="none" w:pos="148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A “person” or “group” within the meaning of Section 13(d) of the Exchange Act, other than Company, its wholly owned subsidiaries or its and their employee benefit plans, files any report with the SEC indicating that such person or group has become the direct or indirect “beneficial owner,” as defined in Rule 13d-3 under the Exchange Act, of the Shares representing more than 50% of the voting power of all of the then-outstanding Shares.</w:t>
      </w:r>
    </w:p>
    <w:p>
      <w:pPr>
        <w:spacing w:after="0" w:line="171" w:lineRule="exact"/>
        <w:rPr>
          <w:rFonts w:ascii="Arial" w:cs="Arial" w:eastAsia="Arial" w:hAnsi="Arial"/>
          <w:sz w:val="17"/>
          <w:szCs w:val="17"/>
          <w:color w:val="auto"/>
        </w:rPr>
      </w:pPr>
    </w:p>
    <w:p>
      <w:pPr>
        <w:jc w:val="both"/>
        <w:ind w:left="1480" w:hanging="648"/>
        <w:spacing w:after="0" w:line="268" w:lineRule="auto"/>
        <w:tabs>
          <w:tab w:leader="none" w:pos="148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Consummation of (I) any sale, lease or other transfer, in one transaction or a series of transactions, of all or substantially all of the assets of Company and its subsidiaries, taken as a whole, to any person other than solely to Company or one or more of Company’s wholly owned subsidiaries or (II) any transaction or series of related transactions in connection with which (whether by means of merger, consolidation, share exchange, combination, reclassification, recapitalization, acquisition, liquidation or otherwise) all of the Shares are exchange for, converted into, acquired for, or constitute solely the right to receive, other securities, cash or other property. Notwithstanding the foregoing, any transaction or transactions set forth in clause (A) above or this clause (B) shall not constitute an Additional Termination Event if (x) at least 90% of the consideration received or to be received by holders of the Shares (excluding cash payments for fractional Shares or pursuant to dissenters rights) in connection with such transaction event consists of shares of common stock that are listed or traded (or American depositary receipts representing shares of common stock, which depositary receipts are listed or traded) on any of The New York Stock Exchange, The Nasdaq Global Select Market or The Nasdaq Global Market (or any of their respective successors) or will be so listed or traded when issued or exchanged in connection with such transaction or event, and (y) as a result of such transaction or event, the Shares will consist of such consideration.</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0" w:name="page151"/>
    <w:bookmarkEnd w:id="150"/>
    <w:p>
      <w:pPr>
        <w:jc w:val="both"/>
        <w:ind w:left="1944" w:hanging="648"/>
        <w:spacing w:after="0" w:line="271" w:lineRule="auto"/>
        <w:tabs>
          <w:tab w:leader="none" w:pos="1944" w:val="left"/>
        </w:tabs>
        <w:numPr>
          <w:ilvl w:val="2"/>
          <w:numId w:val="165"/>
        </w:numPr>
        <w:rPr>
          <w:rFonts w:ascii="Arial" w:cs="Arial" w:eastAsia="Arial" w:hAnsi="Arial"/>
          <w:sz w:val="17"/>
          <w:szCs w:val="17"/>
          <w:color w:val="auto"/>
        </w:rPr>
      </w:pPr>
      <w:r>
        <w:rPr>
          <w:rFonts w:ascii="Arial" w:cs="Arial" w:eastAsia="Arial" w:hAnsi="Arial"/>
          <w:sz w:val="17"/>
          <w:szCs w:val="17"/>
          <w:color w:val="auto"/>
        </w:rPr>
        <w:t>Default by Company or any of its subsidiaries with respect to any one or more mortgages, agreements, or other instruments under which there is outstanding, or by which there is secured or evidenced, any indebtedness for money borrowed at least $35,000,000 (or its foreign currency equivalent) in the aggregate of Company and/or any such subsidiary, whether such indebtedness exists as of the Premium Payment Date [(as defined in the Base Warrant Confirmation)] or is thereafter be created, where such default: (x) constitutes a failure to pay the principal of or interest on such indebtedness when due and payable at its stated maturity, upon required repurchase, upon declaration of acceleration or otherwise, in each case after the expiration of any applicable grace period or (y) results in such indebtedness becoming or being declared due and payable before its stated maturity.</w:t>
      </w:r>
    </w:p>
    <w:p>
      <w:pPr>
        <w:spacing w:after="0" w:line="178" w:lineRule="exact"/>
        <w:rPr>
          <w:rFonts w:ascii="Arial" w:cs="Arial" w:eastAsia="Arial" w:hAnsi="Arial"/>
          <w:sz w:val="17"/>
          <w:szCs w:val="17"/>
          <w:color w:val="auto"/>
        </w:rPr>
      </w:pPr>
    </w:p>
    <w:p>
      <w:pPr>
        <w:jc w:val="both"/>
        <w:ind w:left="1944" w:hanging="648"/>
        <w:spacing w:after="0" w:line="275" w:lineRule="auto"/>
        <w:tabs>
          <w:tab w:leader="none" w:pos="1944" w:val="left"/>
        </w:tabs>
        <w:numPr>
          <w:ilvl w:val="2"/>
          <w:numId w:val="165"/>
        </w:numPr>
        <w:rPr>
          <w:rFonts w:ascii="Arial" w:cs="Arial" w:eastAsia="Arial" w:hAnsi="Arial"/>
          <w:sz w:val="17"/>
          <w:szCs w:val="17"/>
          <w:color w:val="auto"/>
        </w:rPr>
      </w:pPr>
      <w:r>
        <w:rPr>
          <w:rFonts w:ascii="Arial" w:cs="Arial" w:eastAsia="Arial" w:hAnsi="Arial"/>
          <w:sz w:val="17"/>
          <w:szCs w:val="17"/>
          <w:color w:val="auto"/>
        </w:rPr>
        <w:t>Dealer reasonably determines based on the advice of counsel that Dealer, despite using commercially reasonable efforts, is unable or reasonably determines that it is impractical or illegal, to hedge its exposure with respect to the Transaction in the public market without registration under the Securities Act or as a result of any legal, regulatory or self-regulatory requirements or related policies and procedures (whether or not such requirements, policies or procedures are imposed by law or have been voluntarily adopted by Dealer).</w:t>
      </w:r>
    </w:p>
    <w:p>
      <w:pPr>
        <w:spacing w:after="0" w:line="176" w:lineRule="exact"/>
        <w:rPr>
          <w:rFonts w:ascii="Arial" w:cs="Arial" w:eastAsia="Arial" w:hAnsi="Arial"/>
          <w:sz w:val="17"/>
          <w:szCs w:val="17"/>
          <w:color w:val="auto"/>
        </w:rPr>
      </w:pPr>
    </w:p>
    <w:p>
      <w:pPr>
        <w:jc w:val="both"/>
        <w:ind w:left="644" w:hanging="644"/>
        <w:spacing w:after="0" w:line="284" w:lineRule="auto"/>
        <w:tabs>
          <w:tab w:leader="none" w:pos="644" w:val="left"/>
        </w:tabs>
        <w:numPr>
          <w:ilvl w:val="0"/>
          <w:numId w:val="166"/>
        </w:numPr>
        <w:rPr>
          <w:rFonts w:ascii="Arial" w:cs="Arial" w:eastAsia="Arial" w:hAnsi="Arial"/>
          <w:sz w:val="16"/>
          <w:szCs w:val="16"/>
          <w:color w:val="auto"/>
        </w:rPr>
      </w:pPr>
      <w:r>
        <w:rPr>
          <w:rFonts w:ascii="Arial" w:cs="Arial" w:eastAsia="Arial" w:hAnsi="Arial"/>
          <w:sz w:val="16"/>
          <w:szCs w:val="16"/>
          <w:i w:val="1"/>
          <w:iCs w:val="1"/>
          <w:u w:val="single" w:color="auto"/>
          <w:color w:val="auto"/>
        </w:rPr>
        <w:t>No Collateral or Setoff</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any provision of the Agreement or any other agreement between the parties to the contrary,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Company hereunder are not secured by any collateral. Obligations under the Transaction shall not be set off by Company against any other obligations of the parties, whether arising under the Agreement, this Confirmation, under any other agreement between the parties hereto, by operation of law or otherwise. Any provision in the Agreement with respect to the satisfaction of Company’s payment obligations to the extent of Dealer’s payment obligations to Company in the same currency and in the same Transaction (including, without limitation Section 2(c) thereof) shall not apply to Company and, for the avoidance of doubt, Company shall fully satisfy such payment obligations notwithstanding any payment obligation to Company by Dealer in the same currency and in the same Transaction. In calculating any amounts under Section 6(e) of the Agreement, notwithstanding anything to the contrary in the Agreement,</w:t>
      </w:r>
    </w:p>
    <w:p>
      <w:pPr>
        <w:jc w:val="both"/>
        <w:ind w:left="644" w:firstLine="4"/>
        <w:spacing w:after="0" w:line="252" w:lineRule="auto"/>
        <w:tabs>
          <w:tab w:leader="none" w:pos="90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separate amounts shall be calculated as set forth in such Section 6(e) with respect to (a) the Transaction and (b) all other Transactions, and (2) such separate amounts shall be payable pursuant to Section 6(d)(ii) of the Agreement. For the avoidance of doubt and notwithstanding anything to the contrary provided in this Section 9(h), in the event of bankruptcy or liquidation of either Company or Dealer, neither party shall have the right to set off any obligation that it may have to the other party under the Transaction against any obligation such other party may have to it, whether arising under the Agreement, this Confirmation or any other agreement between the parties hereto, by operation of law or otherwise.</w:t>
      </w:r>
    </w:p>
    <w:p>
      <w:pPr>
        <w:spacing w:after="0" w:line="193" w:lineRule="exact"/>
        <w:rPr>
          <w:rFonts w:ascii="Arial" w:cs="Arial" w:eastAsia="Arial" w:hAnsi="Arial"/>
          <w:sz w:val="18"/>
          <w:szCs w:val="18"/>
          <w:color w:val="auto"/>
        </w:rPr>
      </w:pPr>
    </w:p>
    <w:p>
      <w:pPr>
        <w:jc w:val="both"/>
        <w:ind w:left="644" w:hanging="644"/>
        <w:spacing w:after="0" w:line="268" w:lineRule="auto"/>
        <w:tabs>
          <w:tab w:leader="none" w:pos="644" w:val="left"/>
        </w:tabs>
        <w:numPr>
          <w:ilvl w:val="0"/>
          <w:numId w:val="166"/>
        </w:numPr>
        <w:rPr>
          <w:rFonts w:ascii="Arial" w:cs="Arial" w:eastAsia="Arial" w:hAnsi="Arial"/>
          <w:sz w:val="17"/>
          <w:szCs w:val="17"/>
          <w:color w:val="auto"/>
        </w:rPr>
      </w:pPr>
      <w:r>
        <w:rPr>
          <w:rFonts w:ascii="Arial" w:cs="Arial" w:eastAsia="Arial" w:hAnsi="Arial"/>
          <w:sz w:val="17"/>
          <w:szCs w:val="17"/>
          <w:i w:val="1"/>
          <w:iCs w:val="1"/>
          <w:u w:val="single" w:color="auto"/>
          <w:color w:val="auto"/>
        </w:rPr>
        <w:t>Alternative Calculations and Payment on Early Termination and on Certain Extraordinary Events</w:t>
      </w:r>
      <w:r>
        <w:rPr>
          <w:rFonts w:ascii="Arial" w:cs="Arial" w:eastAsia="Arial" w:hAnsi="Arial"/>
          <w:sz w:val="17"/>
          <w:szCs w:val="17"/>
          <w:color w:val="auto"/>
        </w:rPr>
        <w:t>. If (a) an Early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Company’s control, or (iii) an Event of Default in which Company is the Defaulting Party or a Termination Event in which Company is the Affected Party other than an Event of Default of the type described in Section 5(a)(iii), (v), (vi), (vii) or (viii) of the Agreement or a Termination Event of the type described in Section 5(b) of the Agreement, in each case that resulted from an event or events outside Company’s control), and if Company would owe any amount to Dealer pursuant to Section 6(d)(ii) of the Agreement or any Cancellation Amount pursuant to Article 12 of the Equity Definitions (any such amount, a “</w:t>
      </w:r>
      <w:r>
        <w:rPr>
          <w:rFonts w:ascii="Arial" w:cs="Arial" w:eastAsia="Arial" w:hAnsi="Arial"/>
          <w:sz w:val="17"/>
          <w:szCs w:val="17"/>
          <w:b w:val="1"/>
          <w:bCs w:val="1"/>
          <w:color w:val="auto"/>
        </w:rPr>
        <w:t>Payment Obligation</w:t>
      </w:r>
      <w:r>
        <w:rPr>
          <w:rFonts w:ascii="Arial" w:cs="Arial" w:eastAsia="Arial" w:hAnsi="Arial"/>
          <w:sz w:val="17"/>
          <w:szCs w:val="17"/>
          <w:color w:val="auto"/>
        </w:rPr>
        <w:t>”), then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8(g) as of the date of such election and (c) Dealer agrees, in its commercially reasonable discretion, to such election, in which case the provisions of Section 12.7 or Section 12.9 of the Equity Definitions, or the provisions of Section 6(d)(ii) of the Agreement, as the case may be, shall apply.</w:t>
      </w:r>
    </w:p>
    <w:p>
      <w:pPr>
        <w:spacing w:after="0" w:line="39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2"/>
        </w:trPr>
        <w:tc>
          <w:tcPr>
            <w:tcW w:w="4460" w:type="dxa"/>
            <w:vAlign w:val="bottom"/>
          </w:tcPr>
          <w:p>
            <w:pPr>
              <w:ind w:left="1960"/>
              <w:spacing w:after="0"/>
              <w:rPr>
                <w:sz w:val="20"/>
                <w:szCs w:val="20"/>
                <w:color w:val="auto"/>
              </w:rPr>
            </w:pPr>
            <w:r>
              <w:rPr>
                <w:rFonts w:ascii="Arial" w:cs="Arial" w:eastAsia="Arial" w:hAnsi="Arial"/>
                <w:sz w:val="18"/>
                <w:szCs w:val="18"/>
                <w:color w:val="auto"/>
              </w:rPr>
              <w:t>Share Termination Alternative:</w:t>
            </w:r>
          </w:p>
        </w:tc>
        <w:tc>
          <w:tcPr>
            <w:tcW w:w="6780" w:type="dxa"/>
            <w:vAlign w:val="bottom"/>
          </w:tcPr>
          <w:p>
            <w:pPr>
              <w:ind w:left="80"/>
              <w:spacing w:after="0"/>
              <w:rPr>
                <w:sz w:val="20"/>
                <w:szCs w:val="20"/>
                <w:color w:val="auto"/>
              </w:rPr>
            </w:pPr>
            <w:r>
              <w:rPr>
                <w:rFonts w:ascii="Arial" w:cs="Arial" w:eastAsia="Arial" w:hAnsi="Arial"/>
                <w:sz w:val="18"/>
                <w:szCs w:val="18"/>
                <w:color w:val="auto"/>
                <w:w w:val="93"/>
              </w:rPr>
              <w:t>If applicable, Company shall deliver to Dealer the Share Termination Delivery Property on</w:t>
            </w:r>
          </w:p>
        </w:tc>
      </w:tr>
      <w:tr>
        <w:trPr>
          <w:trHeight w:val="220"/>
        </w:trPr>
        <w:tc>
          <w:tcPr>
            <w:tcW w:w="4460" w:type="dxa"/>
            <w:vAlign w:val="bottom"/>
          </w:tcPr>
          <w:p>
            <w:pPr>
              <w:spacing w:after="0"/>
              <w:rPr>
                <w:sz w:val="19"/>
                <w:szCs w:val="19"/>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1"/>
              </w:rPr>
              <w:t>the date (the “</w:t>
            </w:r>
            <w:r>
              <w:rPr>
                <w:rFonts w:ascii="Arial" w:cs="Arial" w:eastAsia="Arial" w:hAnsi="Arial"/>
                <w:sz w:val="18"/>
                <w:szCs w:val="18"/>
                <w:b w:val="1"/>
                <w:bCs w:val="1"/>
                <w:color w:val="auto"/>
                <w:w w:val="91"/>
              </w:rPr>
              <w:t>Share Termination Payment Date</w:t>
            </w:r>
            <w:r>
              <w:rPr>
                <w:rFonts w:ascii="Arial" w:cs="Arial" w:eastAsia="Arial" w:hAnsi="Arial"/>
                <w:sz w:val="18"/>
                <w:szCs w:val="18"/>
                <w:color w:val="auto"/>
                <w:w w:val="91"/>
              </w:rPr>
              <w:t>”) on which the Payment Obligation would</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8"/>
              </w:rPr>
              <w:t>otherwise be due pursuant to Section 12.7 or Section 12.9 of the Equity Definitions or</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Section 6(d)(ii) of the Agreement, as applicable, subject to Section 9(j)(i) below, in</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7"/>
              </w:rPr>
              <w:t>satisfaction, subject to Section 9(j)(ii) below, of the relevant Payment Obligation, in the</w:t>
            </w:r>
          </w:p>
        </w:tc>
      </w:tr>
      <w:tr>
        <w:trPr>
          <w:trHeight w:val="230"/>
        </w:trPr>
        <w:tc>
          <w:tcPr>
            <w:tcW w:w="4460" w:type="dxa"/>
            <w:vAlign w:val="bottom"/>
          </w:tcPr>
          <w:p>
            <w:pPr>
              <w:spacing w:after="0"/>
              <w:rPr>
                <w:sz w:val="20"/>
                <w:szCs w:val="20"/>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manner reasonably requested by Dealer free of payment.</w:t>
            </w:r>
          </w:p>
        </w:tc>
      </w:tr>
      <w:tr>
        <w:trPr>
          <w:trHeight w:val="418"/>
        </w:trPr>
        <w:tc>
          <w:tcPr>
            <w:tcW w:w="4460" w:type="dxa"/>
            <w:vAlign w:val="bottom"/>
          </w:tcPr>
          <w:p>
            <w:pPr>
              <w:ind w:left="1960"/>
              <w:spacing w:after="0"/>
              <w:rPr>
                <w:sz w:val="20"/>
                <w:szCs w:val="20"/>
                <w:color w:val="auto"/>
              </w:rPr>
            </w:pPr>
            <w:r>
              <w:rPr>
                <w:rFonts w:ascii="Arial" w:cs="Arial" w:eastAsia="Arial" w:hAnsi="Arial"/>
                <w:sz w:val="18"/>
                <w:szCs w:val="18"/>
                <w:color w:val="auto"/>
              </w:rPr>
              <w:t>Share Termination Delivery</w:t>
            </w:r>
          </w:p>
        </w:tc>
        <w:tc>
          <w:tcPr>
            <w:tcW w:w="6780" w:type="dxa"/>
            <w:vAlign w:val="bottom"/>
          </w:tcPr>
          <w:p>
            <w:pPr>
              <w:ind w:left="80"/>
              <w:spacing w:after="0"/>
              <w:rPr>
                <w:sz w:val="20"/>
                <w:szCs w:val="20"/>
                <w:color w:val="auto"/>
              </w:rPr>
            </w:pPr>
            <w:r>
              <w:rPr>
                <w:rFonts w:ascii="Arial" w:cs="Arial" w:eastAsia="Arial" w:hAnsi="Arial"/>
                <w:sz w:val="18"/>
                <w:szCs w:val="18"/>
                <w:color w:val="auto"/>
                <w:w w:val="97"/>
              </w:rPr>
              <w:t>A number of Share Termination Delivery Units, as calculated by the Calculation Agent,</w:t>
            </w:r>
          </w:p>
        </w:tc>
      </w:tr>
      <w:tr>
        <w:trPr>
          <w:trHeight w:val="216"/>
        </w:trPr>
        <w:tc>
          <w:tcPr>
            <w:tcW w:w="4460" w:type="dxa"/>
            <w:vAlign w:val="bottom"/>
          </w:tcPr>
          <w:p>
            <w:pPr>
              <w:ind w:left="1960"/>
              <w:spacing w:after="0"/>
              <w:rPr>
                <w:sz w:val="20"/>
                <w:szCs w:val="20"/>
                <w:color w:val="auto"/>
              </w:rPr>
            </w:pPr>
            <w:r>
              <w:rPr>
                <w:rFonts w:ascii="Arial" w:cs="Arial" w:eastAsia="Arial" w:hAnsi="Arial"/>
                <w:sz w:val="18"/>
                <w:szCs w:val="18"/>
                <w:color w:val="auto"/>
              </w:rPr>
              <w:t>Property:</w:t>
            </w:r>
          </w:p>
        </w:tc>
        <w:tc>
          <w:tcPr>
            <w:tcW w:w="6780" w:type="dxa"/>
            <w:vAlign w:val="bottom"/>
          </w:tcPr>
          <w:p>
            <w:pPr>
              <w:ind w:left="80"/>
              <w:spacing w:after="0"/>
              <w:rPr>
                <w:sz w:val="20"/>
                <w:szCs w:val="20"/>
                <w:color w:val="auto"/>
              </w:rPr>
            </w:pPr>
            <w:r>
              <w:rPr>
                <w:rFonts w:ascii="Arial" w:cs="Arial" w:eastAsia="Arial" w:hAnsi="Arial"/>
                <w:sz w:val="18"/>
                <w:szCs w:val="18"/>
                <w:color w:val="auto"/>
                <w:w w:val="92"/>
              </w:rPr>
              <w:t xml:space="preserve">equal to the relevant Payment Obligation </w:t>
            </w:r>
            <w:r>
              <w:rPr>
                <w:rFonts w:ascii="Arial" w:cs="Arial" w:eastAsia="Arial" w:hAnsi="Arial"/>
                <w:sz w:val="18"/>
                <w:szCs w:val="18"/>
                <w:i w:val="1"/>
                <w:iCs w:val="1"/>
                <w:color w:val="auto"/>
                <w:w w:val="92"/>
              </w:rPr>
              <w:t>divided by</w:t>
            </w:r>
            <w:r>
              <w:rPr>
                <w:rFonts w:ascii="Arial" w:cs="Arial" w:eastAsia="Arial" w:hAnsi="Arial"/>
                <w:sz w:val="18"/>
                <w:szCs w:val="18"/>
                <w:color w:val="auto"/>
                <w:w w:val="92"/>
              </w:rPr>
              <w:t xml:space="preserve"> the Share Termination Unit Price. The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9"/>
              </w:rPr>
              <w:t>Calculation Agent shall adjust the amount of Share Termination Delivery Property by</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5"/>
              </w:rPr>
              <w:t>replacing any fractional portion of a security therein with an amount of cash equal to the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0"/>
              </w:rPr>
              <w:t>value of such fractional security based on the values used to calculate the Share Termination</w:t>
            </w:r>
          </w:p>
        </w:tc>
      </w:tr>
      <w:tr>
        <w:trPr>
          <w:trHeight w:val="230"/>
        </w:trPr>
        <w:tc>
          <w:tcPr>
            <w:tcW w:w="4460" w:type="dxa"/>
            <w:vAlign w:val="bottom"/>
          </w:tcPr>
          <w:p>
            <w:pPr>
              <w:spacing w:after="0"/>
              <w:rPr>
                <w:sz w:val="20"/>
                <w:szCs w:val="20"/>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Unit Price (without giving effect to any discount pursuant to Section 9(j)(i)).</w:t>
            </w:r>
          </w:p>
        </w:tc>
      </w:tr>
      <w:tr>
        <w:trPr>
          <w:trHeight w:val="418"/>
        </w:trPr>
        <w:tc>
          <w:tcPr>
            <w:tcW w:w="4460" w:type="dxa"/>
            <w:vAlign w:val="bottom"/>
          </w:tcPr>
          <w:p>
            <w:pPr>
              <w:ind w:left="1960"/>
              <w:spacing w:after="0"/>
              <w:rPr>
                <w:sz w:val="20"/>
                <w:szCs w:val="20"/>
                <w:color w:val="auto"/>
              </w:rPr>
            </w:pPr>
            <w:r>
              <w:rPr>
                <w:rFonts w:ascii="Arial" w:cs="Arial" w:eastAsia="Arial" w:hAnsi="Arial"/>
                <w:sz w:val="18"/>
                <w:szCs w:val="18"/>
                <w:color w:val="auto"/>
              </w:rPr>
              <w:t>Share Termination Unit Price:</w:t>
            </w:r>
          </w:p>
        </w:tc>
        <w:tc>
          <w:tcPr>
            <w:tcW w:w="6780" w:type="dxa"/>
            <w:vAlign w:val="bottom"/>
          </w:tcPr>
          <w:p>
            <w:pPr>
              <w:ind w:left="80"/>
              <w:spacing w:after="0"/>
              <w:rPr>
                <w:sz w:val="20"/>
                <w:szCs w:val="20"/>
                <w:color w:val="auto"/>
              </w:rPr>
            </w:pPr>
            <w:r>
              <w:rPr>
                <w:rFonts w:ascii="Arial" w:cs="Arial" w:eastAsia="Arial" w:hAnsi="Arial"/>
                <w:sz w:val="18"/>
                <w:szCs w:val="18"/>
                <w:color w:val="auto"/>
                <w:w w:val="95"/>
              </w:rPr>
              <w:t>The value to Dealer of property contained in one Share Termination Delivery Unit on the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8"/>
              </w:rPr>
              <w:t>date such Share Termination Delivery Units are to be delivered as Share Termination</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2"/>
              </w:rPr>
              <w:t>Delivery Property, as determined by the Calculation Agent in its discretion by commercially</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2"/>
              </w:rPr>
              <w:t>reasonable means. In the case of a Private Placement of Share Termination Delivery Units</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1"/>
              </w:rPr>
              <w:t>that are Restricted Shares (as defined below), as set forth in Section 9(j)(i) below, the Share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1"/>
              </w:rPr>
              <w:t>Termination Unit Price shall be determined by the discounted price applicable to such Share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4"/>
              </w:rPr>
              <w:t>Termination Delivery Units. In the case of a Registration Settlement of Share Termination</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4"/>
              </w:rPr>
              <w:t>Delivery Units that are Restricted Shares (as defined below) as set forth in Section 9(j)(ii)</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below, notwithstanding the foregoing, the Share Termination Unit Price shall be the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0"/>
              </w:rPr>
              <w:t>Settlement Price on the Merger Date, Tender Offer Date, Announcement Date (in the case of</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4"/>
              </w:rPr>
              <w:t>a Nationalization, Insolvency or Delisting), Early Termination Date or date of cancellation,</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4"/>
              </w:rPr>
              <w:t>as applicable. The Calculation Agent shall notify Company of the Share Termination Unit</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2"/>
              </w:rPr>
              <w:t>Price at the time of notification of such Payment Obligation to Company or, if applicable, at</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the time the discounted price applicable to the relevant Share Termination Units is</w:t>
            </w:r>
          </w:p>
        </w:tc>
      </w:tr>
      <w:tr>
        <w:trPr>
          <w:trHeight w:val="230"/>
        </w:trPr>
        <w:tc>
          <w:tcPr>
            <w:tcW w:w="4460" w:type="dxa"/>
            <w:vAlign w:val="bottom"/>
          </w:tcPr>
          <w:p>
            <w:pPr>
              <w:spacing w:after="0"/>
              <w:rPr>
                <w:sz w:val="20"/>
                <w:szCs w:val="20"/>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determined pursuant to Section 9(j)(i).</w:t>
            </w:r>
          </w:p>
        </w:tc>
      </w:tr>
      <w:tr>
        <w:trPr>
          <w:trHeight w:val="418"/>
        </w:trPr>
        <w:tc>
          <w:tcPr>
            <w:tcW w:w="4460" w:type="dxa"/>
            <w:vAlign w:val="bottom"/>
          </w:tcPr>
          <w:p>
            <w:pPr>
              <w:ind w:left="1960"/>
              <w:spacing w:after="0"/>
              <w:rPr>
                <w:sz w:val="20"/>
                <w:szCs w:val="20"/>
                <w:color w:val="auto"/>
              </w:rPr>
            </w:pPr>
            <w:r>
              <w:rPr>
                <w:rFonts w:ascii="Arial" w:cs="Arial" w:eastAsia="Arial" w:hAnsi="Arial"/>
                <w:sz w:val="18"/>
                <w:szCs w:val="18"/>
                <w:color w:val="auto"/>
                <w:w w:val="95"/>
              </w:rPr>
              <w:t>Share Termination Delivery Unit:</w:t>
            </w:r>
          </w:p>
        </w:tc>
        <w:tc>
          <w:tcPr>
            <w:tcW w:w="6780" w:type="dxa"/>
            <w:vAlign w:val="bottom"/>
          </w:tcPr>
          <w:p>
            <w:pPr>
              <w:ind w:left="80"/>
              <w:spacing w:after="0"/>
              <w:rPr>
                <w:sz w:val="20"/>
                <w:szCs w:val="20"/>
                <w:color w:val="auto"/>
              </w:rPr>
            </w:pPr>
            <w:r>
              <w:rPr>
                <w:rFonts w:ascii="Arial" w:cs="Arial" w:eastAsia="Arial" w:hAnsi="Arial"/>
                <w:sz w:val="18"/>
                <w:szCs w:val="18"/>
                <w:color w:val="auto"/>
                <w:w w:val="95"/>
              </w:rPr>
              <w:t>One Share or, if the Shares have changed into cash or any other property or the right to</w:t>
            </w:r>
          </w:p>
        </w:tc>
      </w:tr>
      <w:tr>
        <w:trPr>
          <w:trHeight w:val="212"/>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3"/>
              </w:rPr>
              <w:t>receive cash or any other property as the result of a Nationalization, Insolvency or Merger</w:t>
            </w:r>
          </w:p>
        </w:tc>
      </w:tr>
      <w:tr>
        <w:trPr>
          <w:trHeight w:val="220"/>
        </w:trPr>
        <w:tc>
          <w:tcPr>
            <w:tcW w:w="4460" w:type="dxa"/>
            <w:vAlign w:val="bottom"/>
          </w:tcPr>
          <w:p>
            <w:pPr>
              <w:spacing w:after="0"/>
              <w:rPr>
                <w:sz w:val="19"/>
                <w:szCs w:val="19"/>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2"/>
              </w:rPr>
              <w:t>Event (any such cash or other property, the “</w:t>
            </w:r>
            <w:r>
              <w:rPr>
                <w:rFonts w:ascii="Arial" w:cs="Arial" w:eastAsia="Arial" w:hAnsi="Arial"/>
                <w:sz w:val="18"/>
                <w:szCs w:val="18"/>
                <w:b w:val="1"/>
                <w:bCs w:val="1"/>
                <w:color w:val="auto"/>
                <w:w w:val="92"/>
              </w:rPr>
              <w:t>Exchange Property</w:t>
            </w:r>
            <w:r>
              <w:rPr>
                <w:rFonts w:ascii="Arial" w:cs="Arial" w:eastAsia="Arial" w:hAnsi="Arial"/>
                <w:sz w:val="18"/>
                <w:szCs w:val="18"/>
                <w:color w:val="auto"/>
                <w:w w:val="92"/>
              </w:rPr>
              <w:t>”), a unit consisting of the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type and amount of Exchange Property received by a holder of one Share (without</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7"/>
              </w:rPr>
              <w:t>consideration of any requirement to pay cash or other consideration in lieu of fractional</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7"/>
              </w:rPr>
              <w:t>amounts of any securities) in such Nationalization, Insolvency or Merger Event. If such</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3"/>
              </w:rPr>
              <w:t>Nationalization, Insolvency or Merger Event involves a choice of Exchange Property to be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2"/>
              </w:rPr>
              <w:t>received by holders, such holder shall be deemed to have elected to receive the maximum</w:t>
            </w:r>
          </w:p>
        </w:tc>
      </w:tr>
      <w:tr>
        <w:trPr>
          <w:trHeight w:val="230"/>
        </w:trPr>
        <w:tc>
          <w:tcPr>
            <w:tcW w:w="4460" w:type="dxa"/>
            <w:vAlign w:val="bottom"/>
          </w:tcPr>
          <w:p>
            <w:pPr>
              <w:spacing w:after="0"/>
              <w:rPr>
                <w:sz w:val="20"/>
                <w:szCs w:val="20"/>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possible amount of cash.</w:t>
            </w:r>
          </w:p>
        </w:tc>
      </w:tr>
      <w:tr>
        <w:trPr>
          <w:trHeight w:val="432"/>
        </w:trPr>
        <w:tc>
          <w:tcPr>
            <w:tcW w:w="4460" w:type="dxa"/>
            <w:vAlign w:val="bottom"/>
          </w:tcPr>
          <w:p>
            <w:pPr>
              <w:ind w:left="1960"/>
              <w:spacing w:after="0"/>
              <w:rPr>
                <w:sz w:val="20"/>
                <w:szCs w:val="20"/>
                <w:color w:val="auto"/>
              </w:rPr>
            </w:pPr>
            <w:r>
              <w:rPr>
                <w:rFonts w:ascii="Arial" w:cs="Arial" w:eastAsia="Arial" w:hAnsi="Arial"/>
                <w:sz w:val="18"/>
                <w:szCs w:val="18"/>
                <w:color w:val="auto"/>
              </w:rPr>
              <w:t>Failure to Deliver:</w:t>
            </w:r>
          </w:p>
        </w:tc>
        <w:tc>
          <w:tcPr>
            <w:tcW w:w="6780" w:type="dxa"/>
            <w:vAlign w:val="bottom"/>
          </w:tcPr>
          <w:p>
            <w:pPr>
              <w:ind w:left="80"/>
              <w:spacing w:after="0"/>
              <w:rPr>
                <w:sz w:val="20"/>
                <w:szCs w:val="20"/>
                <w:color w:val="auto"/>
              </w:rPr>
            </w:pPr>
            <w:r>
              <w:rPr>
                <w:rFonts w:ascii="Arial" w:cs="Arial" w:eastAsia="Arial" w:hAnsi="Arial"/>
                <w:sz w:val="18"/>
                <w:szCs w:val="18"/>
                <w:color w:val="auto"/>
              </w:rPr>
              <w:t>Inapplicable</w:t>
            </w:r>
          </w:p>
        </w:tc>
      </w:tr>
      <w:tr>
        <w:trPr>
          <w:trHeight w:val="418"/>
        </w:trPr>
        <w:tc>
          <w:tcPr>
            <w:tcW w:w="4460" w:type="dxa"/>
            <w:vAlign w:val="bottom"/>
          </w:tcPr>
          <w:p>
            <w:pPr>
              <w:ind w:left="1960"/>
              <w:spacing w:after="0"/>
              <w:rPr>
                <w:sz w:val="20"/>
                <w:szCs w:val="20"/>
                <w:color w:val="auto"/>
              </w:rPr>
            </w:pPr>
            <w:r>
              <w:rPr>
                <w:rFonts w:ascii="Arial" w:cs="Arial" w:eastAsia="Arial" w:hAnsi="Arial"/>
                <w:sz w:val="18"/>
                <w:szCs w:val="18"/>
                <w:color w:val="auto"/>
              </w:rPr>
              <w:t>Other applicable provisions:</w:t>
            </w:r>
          </w:p>
        </w:tc>
        <w:tc>
          <w:tcPr>
            <w:tcW w:w="6780" w:type="dxa"/>
            <w:vAlign w:val="bottom"/>
          </w:tcPr>
          <w:p>
            <w:pPr>
              <w:ind w:left="80"/>
              <w:spacing w:after="0"/>
              <w:rPr>
                <w:sz w:val="20"/>
                <w:szCs w:val="20"/>
                <w:color w:val="auto"/>
              </w:rPr>
            </w:pPr>
            <w:r>
              <w:rPr>
                <w:rFonts w:ascii="Arial" w:cs="Arial" w:eastAsia="Arial" w:hAnsi="Arial"/>
                <w:sz w:val="18"/>
                <w:szCs w:val="18"/>
                <w:color w:val="auto"/>
                <w:w w:val="93"/>
              </w:rPr>
              <w:t>If Share Termination Alternative is applicable, the provisions of Sections 9.8, 9.9, 9.11 and</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9.12 (as modified above) of the Equity Definitions will be applicable, except that all</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4"/>
              </w:rPr>
              <w:t>references in such provisions to “Physically-settled” shall be read as references to “Share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4"/>
              </w:rPr>
              <w:t>Termination Settled” and all references to “Shares” shall be read as references to “Share</w:t>
            </w:r>
          </w:p>
        </w:tc>
      </w:tr>
      <w:tr>
        <w:trPr>
          <w:trHeight w:val="216"/>
        </w:trPr>
        <w:tc>
          <w:tcPr>
            <w:tcW w:w="446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98"/>
              </w:rPr>
              <w:t>Termination Delivery Units”. “Share Termination Settled” in relation to the Transaction</w:t>
            </w:r>
          </w:p>
        </w:tc>
      </w:tr>
      <w:tr>
        <w:trPr>
          <w:trHeight w:val="230"/>
        </w:trPr>
        <w:tc>
          <w:tcPr>
            <w:tcW w:w="4460" w:type="dxa"/>
            <w:vAlign w:val="bottom"/>
          </w:tcPr>
          <w:p>
            <w:pPr>
              <w:spacing w:after="0"/>
              <w:rPr>
                <w:sz w:val="20"/>
                <w:szCs w:val="20"/>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means that the Share Termination Alternative is applicable to the Transaction.</w:t>
            </w:r>
          </w:p>
        </w:tc>
      </w:tr>
      <w:tr>
        <w:trPr>
          <w:trHeight w:val="648"/>
        </w:trPr>
        <w:tc>
          <w:tcPr>
            <w:tcW w:w="44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908" w:right="339" w:bottom="1440" w:gutter="0" w:footer="0" w:header="0"/>
        </w:sectPr>
      </w:pPr>
    </w:p>
    <w:bookmarkStart w:id="152" w:name="page153"/>
    <w:bookmarkEnd w:id="152"/>
    <w:p>
      <w:pPr>
        <w:jc w:val="both"/>
        <w:ind w:left="644" w:hanging="644"/>
        <w:spacing w:after="0" w:line="267" w:lineRule="auto"/>
        <w:tabs>
          <w:tab w:leader="none" w:pos="644" w:val="left"/>
        </w:tabs>
        <w:numPr>
          <w:ilvl w:val="0"/>
          <w:numId w:val="167"/>
        </w:numPr>
        <w:rPr>
          <w:rFonts w:ascii="Arial" w:cs="Arial" w:eastAsia="Arial" w:hAnsi="Arial"/>
          <w:sz w:val="17"/>
          <w:szCs w:val="17"/>
          <w:color w:val="auto"/>
        </w:rPr>
      </w:pPr>
      <w:r>
        <w:rPr>
          <w:rFonts w:ascii="Arial" w:cs="Arial" w:eastAsia="Arial" w:hAnsi="Arial"/>
          <w:sz w:val="17"/>
          <w:szCs w:val="17"/>
          <w:i w:val="1"/>
          <w:iCs w:val="1"/>
          <w:u w:val="single" w:color="auto"/>
          <w:color w:val="auto"/>
        </w:rPr>
        <w:t>Registration/Private Placement Procedures</w:t>
      </w:r>
      <w:r>
        <w:rPr>
          <w:rFonts w:ascii="Arial" w:cs="Arial" w:eastAsia="Arial" w:hAnsi="Arial"/>
          <w:sz w:val="17"/>
          <w:szCs w:val="17"/>
          <w:color w:val="auto"/>
        </w:rPr>
        <w:t>. If, in the reasonable opinion of Dealer, based on the advice of counsel, following any</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Shares or Share Termination Delivery Property to Dealer hereunder, such Shares or Share Termination Delivery Property would be in the hands of Dealer subject to any applicable restrictions with respect to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“restricted securities”, as such term is defined in Rule 144 under the Securities Act, or as a result of the sale of such Shares or Share Termination Delivery Property being subject to paragraph (c) of Rule 145 under the Securities Act) (such Shares or Share Termination Delivery Property, “</w:t>
      </w:r>
      <w:r>
        <w:rPr>
          <w:rFonts w:ascii="Arial" w:cs="Arial" w:eastAsia="Arial" w:hAnsi="Arial"/>
          <w:sz w:val="17"/>
          <w:szCs w:val="17"/>
          <w:b w:val="1"/>
          <w:bCs w:val="1"/>
          <w:color w:val="auto"/>
        </w:rPr>
        <w:t>Restricted Shares</w:t>
      </w:r>
      <w:r>
        <w:rPr>
          <w:rFonts w:ascii="Arial" w:cs="Arial" w:eastAsia="Arial" w:hAnsi="Arial"/>
          <w:sz w:val="17"/>
          <w:szCs w:val="17"/>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Settlement Date for the first applicable Expiration Date, a Private Placement Settlement or Registration Settlement, consistent with a transaction of similar size,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reasonable adjustments, consistent with a transaction of similar size, to settlement terms and provisions under this Confirmation to reflect a single Private Placement or Registration Settlement for such aggregate Restricted Shares delivered hereunder. For the avoidance of doubt, such adjustments will only be commercially reasonable in nature (such as to consider changes in volatility, expected dividends, stock loan rate or liquidity relevant to the Shares and the ability to maintain a commercially reasonable hedge position in the Shares) and will not impact Company’s unilateral right to settle in Shares.</w:t>
      </w:r>
    </w:p>
    <w:p>
      <w:pPr>
        <w:spacing w:after="0" w:line="182" w:lineRule="exact"/>
        <w:rPr>
          <w:rFonts w:ascii="Arial" w:cs="Arial" w:eastAsia="Arial" w:hAnsi="Arial"/>
          <w:sz w:val="17"/>
          <w:szCs w:val="17"/>
          <w:color w:val="auto"/>
        </w:rPr>
      </w:pPr>
    </w:p>
    <w:p>
      <w:pPr>
        <w:jc w:val="both"/>
        <w:ind w:left="1304" w:hanging="656"/>
        <w:spacing w:after="0" w:line="285" w:lineRule="auto"/>
        <w:tabs>
          <w:tab w:leader="none" w:pos="130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If Company elects to settle the Transaction pursuant to this clause (i) (a “</w:t>
      </w:r>
      <w:r>
        <w:rPr>
          <w:rFonts w:ascii="Arial" w:cs="Arial" w:eastAsia="Arial" w:hAnsi="Arial"/>
          <w:sz w:val="16"/>
          <w:szCs w:val="16"/>
          <w:b w:val="1"/>
          <w:bCs w:val="1"/>
          <w:color w:val="auto"/>
        </w:rPr>
        <w:t>Private Placement Settlement</w:t>
      </w:r>
      <w:r>
        <w:rPr>
          <w:rFonts w:ascii="Arial" w:cs="Arial" w:eastAsia="Arial" w:hAnsi="Arial"/>
          <w:sz w:val="16"/>
          <w:szCs w:val="16"/>
          <w:color w:val="auto"/>
        </w:rPr>
        <w:t xml:space="preserve">”), then delivery of Restricted Shares by Company shall be effected in private placement procedures customary for offerings of comparable size for an issuer comparable to Company with respect to such Restricted Shares commercially reasonably acceptable to Dealer;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Company may not elect a Private Placement Settlement if, on the date of its election, it has taken, or caused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taken, any action that would make unavailable either the exemption pursuant to Section 4(a)(2) of the Securities Act for the sale by Company to Dealer (or any affiliate designated by Dealer) of the Restricted Shares or the exemption pursuant to Section 4(a)</w:t>
      </w:r>
    </w:p>
    <w:p>
      <w:pPr>
        <w:spacing w:after="0" w:line="3" w:lineRule="exact"/>
        <w:rPr>
          <w:rFonts w:ascii="Arial" w:cs="Arial" w:eastAsia="Arial" w:hAnsi="Arial"/>
          <w:sz w:val="16"/>
          <w:szCs w:val="16"/>
          <w:color w:val="auto"/>
        </w:rPr>
      </w:pPr>
    </w:p>
    <w:p>
      <w:pPr>
        <w:jc w:val="both"/>
        <w:ind w:left="1304" w:hanging="8"/>
        <w:spacing w:after="0" w:line="284" w:lineRule="auto"/>
        <w:tabs>
          <w:tab w:leader="none" w:pos="1586" w:val="left"/>
        </w:tabs>
        <w:numPr>
          <w:ilvl w:val="2"/>
          <w:numId w:val="167"/>
        </w:numPr>
        <w:rPr>
          <w:rFonts w:ascii="Arial" w:cs="Arial" w:eastAsia="Arial" w:hAnsi="Arial"/>
          <w:sz w:val="16"/>
          <w:szCs w:val="16"/>
          <w:color w:val="auto"/>
        </w:rPr>
      </w:pPr>
      <w:r>
        <w:rPr>
          <w:rFonts w:ascii="Arial" w:cs="Arial" w:eastAsia="Arial" w:hAnsi="Arial"/>
          <w:sz w:val="16"/>
          <w:szCs w:val="16"/>
          <w:color w:val="auto"/>
        </w:rPr>
        <w:t>or Section 4(a)(3) of the Securities Act for resales of the Restricted Shares by Dealer (or any such affiliate of Dealer). Company shall use commercially reasonable efforts to cause the Private Placement Settlement of such Restricted Shares to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for offerings of comparable size for an issuer comparable to Company, all commercially reasonably acceptable to Dealer. In the case of a Private Placement Settlement, Dealer shall determine the appropriate discount to the Share Termination Unit Price (in the case of settlement of Share Termination Delivery Units pursuant to Section 9(i) above) or premium to any Settlement Price (in the case of settlement of Shares pursuant to Section 2 above) applicable 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or premium, as the case may be,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9(i) above) or on the Settlement Date for such Restricted Shares (in the case of settlement in Shares pursuant to Section 2 above).</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3" w:name="page154"/>
    <w:bookmarkEnd w:id="153"/>
    <w:p>
      <w:pPr>
        <w:jc w:val="both"/>
        <w:ind w:left="840" w:hanging="656"/>
        <w:spacing w:after="0" w:line="284" w:lineRule="auto"/>
        <w:tabs>
          <w:tab w:leader="none" w:pos="8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Company elects to settle the Transaction pursuant to this clause (ii) (a “</w:t>
      </w:r>
      <w:r>
        <w:rPr>
          <w:rFonts w:ascii="Arial" w:cs="Arial" w:eastAsia="Arial" w:hAnsi="Arial"/>
          <w:sz w:val="16"/>
          <w:szCs w:val="16"/>
          <w:b w:val="1"/>
          <w:bCs w:val="1"/>
          <w:color w:val="auto"/>
        </w:rPr>
        <w:t>Registration Settlement</w:t>
      </w:r>
      <w:r>
        <w:rPr>
          <w:rFonts w:ascii="Arial" w:cs="Arial" w:eastAsia="Arial" w:hAnsi="Arial"/>
          <w:sz w:val="16"/>
          <w:szCs w:val="16"/>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resale underwriting agreements of similar size,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Restricted Shares (which, for the avoidance of doubt, shall be (x) the Share Termination Payment Date in case of settlement in Share Termination Delivery Units pursuant to Section 9(i) above or (y) the Settlement Date in respect of the final Expiration Date for all Daily Number of Warrants) and ending on the Exchange Business Day on which Dealer completes the sale of all Restricted Shares in a commercially reasonable manner or, in the case of settlement of Share Termination Delivery Units, a sufficient number of Restricted Shares so that the realized net proceeds of such sales equals or exceeds the Payment Obligation (as defined above). If the Payment Obligation exceeds the realized net proceeds from such resale, Company shall transfer to Dealer by the open of the regular trading session on the Exchange on the Exchange Business Day immediately following such resale the amount of such excess (the “</w:t>
      </w:r>
      <w:r>
        <w:rPr>
          <w:rFonts w:ascii="Arial" w:cs="Arial" w:eastAsia="Arial" w:hAnsi="Arial"/>
          <w:sz w:val="16"/>
          <w:szCs w:val="16"/>
          <w:b w:val="1"/>
          <w:bCs w:val="1"/>
          <w:color w:val="auto"/>
        </w:rPr>
        <w:t>Additional Amount</w:t>
      </w:r>
      <w:r>
        <w:rPr>
          <w:rFonts w:ascii="Arial" w:cs="Arial" w:eastAsia="Arial" w:hAnsi="Arial"/>
          <w:sz w:val="16"/>
          <w:szCs w:val="16"/>
          <w:color w:val="auto"/>
        </w:rPr>
        <w:t>”) in cash or in a number of Shares (“</w:t>
      </w:r>
      <w:r>
        <w:rPr>
          <w:rFonts w:ascii="Arial" w:cs="Arial" w:eastAsia="Arial" w:hAnsi="Arial"/>
          <w:sz w:val="16"/>
          <w:szCs w:val="16"/>
          <w:b w:val="1"/>
          <w:bCs w:val="1"/>
          <w:color w:val="auto"/>
        </w:rPr>
        <w:t>Make-whole Shares</w:t>
      </w:r>
      <w:r>
        <w:rPr>
          <w:rFonts w:ascii="Arial" w:cs="Arial" w:eastAsia="Arial" w:hAnsi="Arial"/>
          <w:sz w:val="16"/>
          <w:szCs w:val="16"/>
          <w:color w:val="auto"/>
        </w:rPr>
        <w:t>”) in an amount that, based on the Settlement Price on such day (as if such day was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180" w:lineRule="exact"/>
        <w:rPr>
          <w:rFonts w:ascii="Arial" w:cs="Arial" w:eastAsia="Arial" w:hAnsi="Arial"/>
          <w:sz w:val="16"/>
          <w:szCs w:val="16"/>
          <w:color w:val="auto"/>
        </w:rPr>
      </w:pPr>
    </w:p>
    <w:p>
      <w:pPr>
        <w:jc w:val="both"/>
        <w:ind w:left="840" w:hanging="656"/>
        <w:spacing w:after="0" w:line="286" w:lineRule="auto"/>
        <w:tabs>
          <w:tab w:leader="none" w:pos="8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Without limiting the generality of the foregoing, Company agrees that (A) any Restricted Shares delivered to Dealer may be transferred by and among Dealer and its affiliates and Company shall effect such transfer without any further action by Dealer and (B) after the period of 6 months from the Trade Date (or 1 year from the Trade Date if, at such time, informational requirements of Rule 144(c) under the Securities Act are not satisfied with respect to Company) has elapsed in respect of any Restricted Shares delivered to Dealer, Company shall promptly remove, or cause the transfer agent for such Restricted Shares to remove, any legends referring to any such restrictions or requirements from such Restricted Shares upon request by Dealer (or such affiliate of Dealer) to Company or such transfer agent, without any requirement for the delivery of any certificate, consent, agreement, opinion of counsel, notice or any other document, any transfer tax stamps or payment of any other amount or any other action by Dealer (or such affiliate of Dealer).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as in effect at the time of delivery of the relevant Shares or Share Termination Delivery Property.</w:t>
      </w:r>
    </w:p>
    <w:p>
      <w:pPr>
        <w:spacing w:after="0" w:line="173" w:lineRule="exact"/>
        <w:rPr>
          <w:rFonts w:ascii="Arial" w:cs="Arial" w:eastAsia="Arial" w:hAnsi="Arial"/>
          <w:sz w:val="16"/>
          <w:szCs w:val="16"/>
          <w:color w:val="auto"/>
        </w:rPr>
      </w:pPr>
    </w:p>
    <w:p>
      <w:pPr>
        <w:jc w:val="both"/>
        <w:ind w:left="840" w:hanging="656"/>
        <w:spacing w:after="0" w:line="263" w:lineRule="auto"/>
        <w:tabs>
          <w:tab w:leader="none" w:pos="8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4" w:name="page155"/>
    <w:bookmarkEnd w:id="154"/>
    <w:p>
      <w:pPr>
        <w:jc w:val="both"/>
        <w:ind w:left="644" w:hanging="644"/>
        <w:spacing w:after="0" w:line="287" w:lineRule="auto"/>
        <w:tabs>
          <w:tab w:leader="none" w:pos="644" w:val="left"/>
        </w:tabs>
        <w:numPr>
          <w:ilvl w:val="0"/>
          <w:numId w:val="169"/>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 on Beneficial Ownership</w:t>
      </w:r>
      <w:r>
        <w:rPr>
          <w:rFonts w:ascii="Arial" w:cs="Arial" w:eastAsia="Arial" w:hAnsi="Arial"/>
          <w:sz w:val="16"/>
          <w:szCs w:val="16"/>
          <w:color w:val="auto"/>
        </w:rPr>
        <w:t>. Notwithstanding any other provisions hereof, Dealer may not exercise any Warrant hereunder or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take delivery of any Shares deliverable hereunder, and Automatic Exercise shall not apply with respect to any Warrant hereunder, to the extent (but only to the extent) that, after such receipt of any Shares upon the exercise of such Warrant or otherwise hereunder [and after taking into account any Shares deliverable to Dealer under the letter agreement dated June 15, 2021 between Dealer and Company regarding Base Warrants (the “</w:t>
      </w:r>
      <w:r>
        <w:rPr>
          <w:rFonts w:ascii="Arial" w:cs="Arial" w:eastAsia="Arial" w:hAnsi="Arial"/>
          <w:sz w:val="16"/>
          <w:szCs w:val="16"/>
          <w:b w:val="1"/>
          <w:bCs w:val="1"/>
          <w:color w:val="auto"/>
        </w:rPr>
        <w:t>Base Warrant Confirmation</w:t>
      </w:r>
      <w:r>
        <w:rPr>
          <w:rFonts w:ascii="Arial" w:cs="Arial" w:eastAsia="Arial" w:hAnsi="Arial"/>
          <w:sz w:val="16"/>
          <w:szCs w:val="16"/>
          <w:color w:val="auto"/>
        </w:rPr>
        <w:t>”)], (i) the Section 16 Percentage would exceed 8.5%, or (ii) the Share Amount would exceed the Applicable Share Limit. Any purported delivery hereunder shall be void and have no effect to the extent (but only to the extent) that, after such delivery [and after taking into account any Shares deliverable to Dealer under the Base Warrant Confirmation], (i) the Section 16 Percentage would exceed 8.5%, or (ii) the Share Amount would exceed the Applicable Share Limit. If any delivery owed to Dealer hereunder is not made, in whole or in part, as a result of this provision, Company’s obligation to make such delivery shall not be extinguished and Company shall make such delivery as promptly as practicable after, but in no event later than one Business Day after, Dealer gives notice to Company that, after such delivery, (i) the Section 16 Percentage would not exceed 8.5%, and (ii) the Share Amount would not exceed the Applicable Share Limit.</w:t>
      </w:r>
    </w:p>
    <w:p>
      <w:pPr>
        <w:spacing w:after="0" w:line="167" w:lineRule="exact"/>
        <w:rPr>
          <w:rFonts w:ascii="Arial" w:cs="Arial" w:eastAsia="Arial" w:hAnsi="Arial"/>
          <w:sz w:val="16"/>
          <w:szCs w:val="16"/>
          <w:color w:val="auto"/>
        </w:rPr>
      </w:pPr>
    </w:p>
    <w:p>
      <w:pPr>
        <w:jc w:val="both"/>
        <w:ind w:left="644" w:hanging="644"/>
        <w:spacing w:after="0" w:line="311" w:lineRule="auto"/>
        <w:tabs>
          <w:tab w:leader="none" w:pos="644" w:val="left"/>
        </w:tabs>
        <w:numPr>
          <w:ilvl w:val="0"/>
          <w:numId w:val="169"/>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 Deliveries</w:t>
      </w:r>
      <w:r>
        <w:rPr>
          <w:rFonts w:ascii="Arial" w:cs="Arial" w:eastAsia="Arial" w:hAnsi="Arial"/>
          <w:sz w:val="16"/>
          <w:szCs w:val="16"/>
          <w:color w:val="auto"/>
        </w:rPr>
        <w:t>. Notwithstanding anything to the contrary herein, Company agrees that any delivery of Shares or Share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Property shall be effected by book-entry transfer through the facilities of DTC, or any successor depositary, if at the time of delivery, such class of Shares or class of Share Termination Delivery Property is in book-entry form at DTC or such successor depositary.</w:t>
      </w:r>
    </w:p>
    <w:p>
      <w:pPr>
        <w:spacing w:after="0" w:line="148" w:lineRule="exact"/>
        <w:rPr>
          <w:rFonts w:ascii="Arial" w:cs="Arial" w:eastAsia="Arial" w:hAnsi="Arial"/>
          <w:sz w:val="16"/>
          <w:szCs w:val="16"/>
          <w:color w:val="auto"/>
        </w:rPr>
      </w:pPr>
    </w:p>
    <w:p>
      <w:pPr>
        <w:jc w:val="both"/>
        <w:ind w:left="644" w:hanging="644"/>
        <w:spacing w:after="0" w:line="275" w:lineRule="auto"/>
        <w:tabs>
          <w:tab w:leader="none" w:pos="644" w:val="left"/>
        </w:tabs>
        <w:numPr>
          <w:ilvl w:val="0"/>
          <w:numId w:val="169"/>
        </w:numPr>
        <w:rPr>
          <w:rFonts w:ascii="Arial" w:cs="Arial" w:eastAsia="Arial" w:hAnsi="Arial"/>
          <w:sz w:val="17"/>
          <w:szCs w:val="17"/>
          <w:color w:val="auto"/>
        </w:rPr>
      </w:pPr>
      <w:r>
        <w:rPr>
          <w:rFonts w:ascii="Arial" w:cs="Arial" w:eastAsia="Arial" w:hAnsi="Arial"/>
          <w:sz w:val="17"/>
          <w:szCs w:val="17"/>
          <w:i w:val="1"/>
          <w:iCs w:val="1"/>
          <w:u w:val="single" w:color="auto"/>
          <w:color w:val="auto"/>
        </w:rPr>
        <w:t>Waiver of Jury Trial.</w:t>
      </w:r>
      <w:r>
        <w:rPr>
          <w:rFonts w:ascii="Arial" w:cs="Arial" w:eastAsia="Arial" w:hAnsi="Arial"/>
          <w:sz w:val="17"/>
          <w:szCs w:val="17"/>
          <w:i w:val="1"/>
          <w:iCs w:val="1"/>
          <w:color w:val="auto"/>
        </w:rPr>
        <w:t xml:space="preserve"> </w:t>
      </w:r>
      <w:r>
        <w:rPr>
          <w:rFonts w:ascii="Arial" w:cs="Arial" w:eastAsia="Arial" w:hAnsi="Arial"/>
          <w:sz w:val="17"/>
          <w:szCs w:val="17"/>
          <w:color w:val="auto"/>
        </w:rPr>
        <w:t>Each party waives, to the fullest extent permitted by applicable law, any right it may have to a trial by jury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76"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169"/>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from the date of commencement of discussions concerning the Transaction, Company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186" w:lineRule="exact"/>
        <w:rPr>
          <w:rFonts w:ascii="Arial" w:cs="Arial" w:eastAsia="Arial" w:hAnsi="Arial"/>
          <w:sz w:val="18"/>
          <w:szCs w:val="18"/>
          <w:color w:val="auto"/>
        </w:rPr>
      </w:pPr>
    </w:p>
    <w:p>
      <w:pPr>
        <w:ind w:left="644" w:hanging="644"/>
        <w:spacing w:after="0"/>
        <w:tabs>
          <w:tab w:leader="none" w:pos="644" w:val="left"/>
        </w:tabs>
        <w:numPr>
          <w:ilvl w:val="0"/>
          <w:numId w:val="169"/>
        </w:numPr>
        <w:rPr>
          <w:rFonts w:ascii="Arial" w:cs="Arial" w:eastAsia="Arial" w:hAnsi="Arial"/>
          <w:sz w:val="18"/>
          <w:szCs w:val="18"/>
          <w:color w:val="auto"/>
        </w:rPr>
      </w:pPr>
      <w:r>
        <w:rPr>
          <w:rFonts w:ascii="Arial" w:cs="Arial" w:eastAsia="Arial" w:hAnsi="Arial"/>
          <w:sz w:val="18"/>
          <w:szCs w:val="18"/>
          <w:i w:val="1"/>
          <w:iCs w:val="1"/>
          <w:u w:val="single" w:color="auto"/>
          <w:color w:val="auto"/>
        </w:rPr>
        <w:t>Maximum Share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59" w:lineRule="auto"/>
        <w:tabs>
          <w:tab w:leader="none" w:pos="130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Notwithstanding any other provision of this Confirmation, the Agreement or the Equity Definitions, in no event will Company at any time be required to deliver a number of Shares greater than [</w:t>
      </w:r>
      <w:r>
        <w:rPr>
          <w:rFonts w:ascii="Arial" w:cs="Arial" w:eastAsia="Arial" w:hAnsi="Arial"/>
          <w:sz w:val="18"/>
          <w:szCs w:val="18"/>
          <w:i w:val="1"/>
          <w:iCs w:val="1"/>
          <w:color w:val="auto"/>
        </w:rPr>
        <w:t>__</w:t>
      </w:r>
      <w:r>
        <w:rPr>
          <w:rFonts w:ascii="Arial" w:cs="Arial" w:eastAsia="Arial" w:hAnsi="Arial"/>
          <w:sz w:val="18"/>
          <w:szCs w:val="18"/>
          <w:color w:val="auto"/>
        </w:rPr>
        <w:t>] (the “</w:t>
      </w:r>
      <w:r>
        <w:rPr>
          <w:rFonts w:ascii="Arial" w:cs="Arial" w:eastAsia="Arial" w:hAnsi="Arial"/>
          <w:sz w:val="18"/>
          <w:szCs w:val="18"/>
          <w:b w:val="1"/>
          <w:bCs w:val="1"/>
          <w:color w:val="auto"/>
        </w:rPr>
        <w:t>Maximum Number of Shares</w:t>
      </w:r>
      <w:r>
        <w:rPr>
          <w:rFonts w:ascii="Arial" w:cs="Arial" w:eastAsia="Arial" w:hAnsi="Arial"/>
          <w:sz w:val="18"/>
          <w:szCs w:val="18"/>
          <w:color w:val="auto"/>
        </w:rPr>
        <w:t>”) to Dealer in connection with the Transaction (including, without limitation, any Shares deliverable to Dealer as a result of any early termination of the Transaction).</w:t>
      </w:r>
    </w:p>
    <w:p>
      <w:pPr>
        <w:spacing w:after="0" w:line="186" w:lineRule="exact"/>
        <w:rPr>
          <w:rFonts w:ascii="Arial" w:cs="Arial" w:eastAsia="Arial" w:hAnsi="Arial"/>
          <w:sz w:val="18"/>
          <w:szCs w:val="18"/>
          <w:color w:val="auto"/>
        </w:rPr>
      </w:pPr>
    </w:p>
    <w:p>
      <w:pPr>
        <w:jc w:val="both"/>
        <w:ind w:left="1304" w:hanging="656"/>
        <w:spacing w:after="0" w:line="286" w:lineRule="auto"/>
        <w:tabs>
          <w:tab w:leader="none" w:pos="130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6"/>
          <w:szCs w:val="16"/>
          <w:b w:val="1"/>
          <w:bCs w:val="1"/>
          <w:color w:val="auto"/>
        </w:rPr>
        <w:t>Deficit Shares</w:t>
      </w:r>
      <w:r>
        <w:rPr>
          <w:rFonts w:ascii="Arial" w:cs="Arial" w:eastAsia="Arial" w:hAnsi="Arial"/>
          <w:sz w:val="16"/>
          <w:szCs w:val="16"/>
          <w:color w:val="auto"/>
        </w:rPr>
        <w:t xml:space="preserve">”), Company shall be continually obligated to deliver, from time to time, Shares or Restricted Shares, as the case may be, to Dealer until the full number of Deficit Shares have been delivered pursuant to this Section 9(o)(ii),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event shall Company deliver any Shares or Restricted Shares to Dealer pursuant to this Section 9(o)(ii)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5" w:name="page156"/>
    <w:bookmarkEnd w:id="155"/>
    <w:p>
      <w:pPr>
        <w:jc w:val="both"/>
        <w:ind w:left="644" w:hanging="644"/>
        <w:spacing w:after="0" w:line="269" w:lineRule="auto"/>
        <w:tabs>
          <w:tab w:leader="none" w:pos="644" w:val="left"/>
        </w:tabs>
        <w:numPr>
          <w:ilvl w:val="0"/>
          <w:numId w:val="170"/>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Extend.</w:t>
      </w:r>
      <w:r>
        <w:rPr>
          <w:rFonts w:ascii="Arial" w:cs="Arial" w:eastAsia="Arial" w:hAnsi="Arial"/>
          <w:sz w:val="17"/>
          <w:szCs w:val="17"/>
          <w:i w:val="1"/>
          <w:iCs w:val="1"/>
          <w:color w:val="auto"/>
        </w:rPr>
        <w:t xml:space="preserve"> </w:t>
      </w:r>
      <w:r>
        <w:rPr>
          <w:rFonts w:ascii="Arial" w:cs="Arial" w:eastAsia="Arial" w:hAnsi="Arial"/>
          <w:sz w:val="17"/>
          <w:szCs w:val="17"/>
          <w:color w:val="auto"/>
        </w:rPr>
        <w:t>Dealer may postpone or add, in whole or in part, any Expiration Date or any other date of valuation or delivery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 to some or all of the relevant Warrants (in which event the Calculation Agent shall make appropriate adjustments to the Daily Number of Warrants with respect to one or more Expiration Dates) if Dealer determines, in its commercially reasonable judgment, that such extension is reasonably necessary or appropriate (i) to preserve Dealer’s commercially reasonable hedging or commercially reasonable hedge unwind activity hereunder in light of existing liquidity conditions (but only in the case of a material decrease in liquidity relative to Dealer’s expectations as of the Trade Date) or (ii) based on advice of counsel, to enable Dealer to effect transactions in Shares in connection with its commercially reasonable hedging, commercially reasonable hedge unwind or settlement activity hereunder in a manner that would, if Dealer were Issuer or an affiliated purchaser of Issuer, be in compliance with applicable legal, regulatory or self-regulatory requirements, or with related policies and procedures applicable to Dealer (so long as such policies and procedures would generally be applicable to counterparties similar to Company and transactions similar to the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Expiration Date or other date of valuation or delivery may be postponed or added more than 50 Exchange Business Days after the original Expiration Date or other date of valuation or delivery, as the case may be.</w:t>
      </w:r>
    </w:p>
    <w:p>
      <w:pPr>
        <w:spacing w:after="0" w:line="178" w:lineRule="exact"/>
        <w:rPr>
          <w:rFonts w:ascii="Arial" w:cs="Arial" w:eastAsia="Arial" w:hAnsi="Arial"/>
          <w:sz w:val="17"/>
          <w:szCs w:val="17"/>
          <w:color w:val="auto"/>
        </w:rPr>
      </w:pPr>
    </w:p>
    <w:p>
      <w:pPr>
        <w:jc w:val="both"/>
        <w:ind w:left="644" w:hanging="644"/>
        <w:spacing w:after="0" w:line="296" w:lineRule="auto"/>
        <w:tabs>
          <w:tab w:leader="none" w:pos="644" w:val="left"/>
        </w:tabs>
        <w:numPr>
          <w:ilvl w:val="0"/>
          <w:numId w:val="170"/>
        </w:numPr>
        <w:rPr>
          <w:rFonts w:ascii="Arial" w:cs="Arial" w:eastAsia="Arial" w:hAnsi="Arial"/>
          <w:sz w:val="16"/>
          <w:szCs w:val="16"/>
          <w:color w:val="auto"/>
        </w:rPr>
      </w:pPr>
      <w:r>
        <w:rPr>
          <w:rFonts w:ascii="Arial" w:cs="Arial" w:eastAsia="Arial" w:hAnsi="Arial"/>
          <w:sz w:val="16"/>
          <w:szCs w:val="16"/>
          <w:i w:val="1"/>
          <w:iCs w:val="1"/>
          <w:u w:val="single" w:color="auto"/>
          <w:color w:val="auto"/>
        </w:rPr>
        <w:t>Status of Claims in Bankruptcy.</w:t>
      </w:r>
      <w:r>
        <w:rPr>
          <w:rFonts w:ascii="Arial" w:cs="Arial" w:eastAsia="Arial" w:hAnsi="Arial"/>
          <w:sz w:val="16"/>
          <w:szCs w:val="16"/>
          <w:i w:val="1"/>
          <w:iCs w:val="1"/>
          <w:color w:val="auto"/>
        </w:rPr>
        <w:t xml:space="preserve"> </w:t>
      </w:r>
      <w:r>
        <w:rPr>
          <w:rFonts w:ascii="Arial" w:cs="Arial" w:eastAsia="Arial" w:hAnsi="Arial"/>
          <w:sz w:val="16"/>
          <w:szCs w:val="16"/>
          <w:color w:val="auto"/>
        </w:rPr>
        <w:t>Dealer acknowledges and agrees that this Confirmation is not intended to convey to Dealer rights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with respect to the Transaction that are senior to the claims of common stockholders of Company in any United States bankruptcy proceedings of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limit or shall be deemed to limit Dealer’s right to pursue remedies in the event of a breach by Company of its obligations and agreements with respect to the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nothing herein shall limit or shall be deemed to limit Dealer’s rights in respect of any transactions other than the Transaction.</w:t>
      </w:r>
    </w:p>
    <w:p>
      <w:pPr>
        <w:spacing w:after="0" w:line="161" w:lineRule="exact"/>
        <w:rPr>
          <w:rFonts w:ascii="Arial" w:cs="Arial" w:eastAsia="Arial" w:hAnsi="Arial"/>
          <w:sz w:val="16"/>
          <w:szCs w:val="16"/>
          <w:color w:val="auto"/>
        </w:rPr>
      </w:pPr>
    </w:p>
    <w:p>
      <w:pPr>
        <w:jc w:val="both"/>
        <w:ind w:left="644" w:hanging="644"/>
        <w:spacing w:after="0" w:line="272" w:lineRule="auto"/>
        <w:tabs>
          <w:tab w:leader="none" w:pos="644" w:val="left"/>
        </w:tabs>
        <w:numPr>
          <w:ilvl w:val="0"/>
          <w:numId w:val="170"/>
        </w:numPr>
        <w:rPr>
          <w:rFonts w:ascii="Arial" w:cs="Arial" w:eastAsia="Arial" w:hAnsi="Arial"/>
          <w:sz w:val="17"/>
          <w:szCs w:val="17"/>
          <w:color w:val="auto"/>
        </w:rPr>
      </w:pPr>
      <w:r>
        <w:rPr>
          <w:rFonts w:ascii="Arial" w:cs="Arial" w:eastAsia="Arial" w:hAnsi="Arial"/>
          <w:sz w:val="17"/>
          <w:szCs w:val="17"/>
          <w:i w:val="1"/>
          <w:iCs w:val="1"/>
          <w:u w:val="single" w:color="auto"/>
          <w:color w:val="auto"/>
        </w:rPr>
        <w:t>Securities Contract; Swap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hereto intend for (i) the Transaction to be a “securities contract” and a “swap</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as defined in the Bankruptcy Code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77" w:lineRule="exact"/>
        <w:rPr>
          <w:rFonts w:ascii="Arial" w:cs="Arial" w:eastAsia="Arial" w:hAnsi="Arial"/>
          <w:sz w:val="17"/>
          <w:szCs w:val="17"/>
          <w:color w:val="auto"/>
        </w:rPr>
      </w:pPr>
    </w:p>
    <w:p>
      <w:pPr>
        <w:jc w:val="both"/>
        <w:ind w:left="644" w:hanging="644"/>
        <w:spacing w:after="0" w:line="290" w:lineRule="auto"/>
        <w:tabs>
          <w:tab w:leader="none" w:pos="644" w:val="left"/>
        </w:tabs>
        <w:numPr>
          <w:ilvl w:val="0"/>
          <w:numId w:val="170"/>
        </w:numPr>
        <w:rPr>
          <w:rFonts w:ascii="Arial" w:cs="Arial" w:eastAsia="Arial" w:hAnsi="Arial"/>
          <w:sz w:val="16"/>
          <w:szCs w:val="16"/>
          <w:color w:val="auto"/>
        </w:rPr>
      </w:pPr>
      <w:r>
        <w:rPr>
          <w:rFonts w:ascii="Arial" w:cs="Arial" w:eastAsia="Arial" w:hAnsi="Arial"/>
          <w:sz w:val="16"/>
          <w:szCs w:val="16"/>
          <w:i w:val="1"/>
          <w:iCs w:val="1"/>
          <w:u w:val="single" w:color="auto"/>
          <w:color w:val="auto"/>
        </w:rPr>
        <w:t>Agreements and Acknowledgements Regarding Hedging</w:t>
      </w:r>
      <w:r>
        <w:rPr>
          <w:rFonts w:ascii="Arial" w:cs="Arial" w:eastAsia="Arial" w:hAnsi="Arial"/>
          <w:sz w:val="16"/>
          <w:szCs w:val="16"/>
          <w:color w:val="auto"/>
        </w:rPr>
        <w:t>. Company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165" w:lineRule="exact"/>
        <w:rPr>
          <w:rFonts w:ascii="Arial" w:cs="Arial" w:eastAsia="Arial" w:hAnsi="Arial"/>
          <w:sz w:val="16"/>
          <w:szCs w:val="16"/>
          <w:color w:val="auto"/>
        </w:rPr>
      </w:pPr>
    </w:p>
    <w:p>
      <w:pPr>
        <w:jc w:val="both"/>
        <w:ind w:left="644" w:hanging="644"/>
        <w:spacing w:after="0" w:line="269" w:lineRule="auto"/>
        <w:tabs>
          <w:tab w:leader="none" w:pos="644" w:val="left"/>
        </w:tabs>
        <w:numPr>
          <w:ilvl w:val="0"/>
          <w:numId w:val="170"/>
        </w:numPr>
        <w:rPr>
          <w:rFonts w:ascii="Arial" w:cs="Arial" w:eastAsia="Arial" w:hAnsi="Arial"/>
          <w:sz w:val="17"/>
          <w:szCs w:val="17"/>
          <w:color w:val="auto"/>
        </w:rPr>
      </w:pPr>
      <w:r>
        <w:rPr>
          <w:rFonts w:ascii="Arial" w:cs="Arial" w:eastAsia="Arial" w:hAnsi="Arial"/>
          <w:sz w:val="17"/>
          <w:szCs w:val="17"/>
          <w:i w:val="1"/>
          <w:iCs w:val="1"/>
          <w:u w:val="single" w:color="auto"/>
          <w:color w:val="auto"/>
        </w:rPr>
        <w:t>Early Unwind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event the sale of the [“Initial Securities”] [“Option Securities”] (as defined in the Purchase Agreement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15, 2021 (the “Purchase Agreement”) among Company, BofA Securities, Inc., Wells Fargo Securities, LLC, Goldman Sachs &amp; Co. LLC and Truist Securities, Inc., as representatives of the several Initial Purchasers (the “Initial Purchasers”) is not consummated with the Initial Purchasers for any reason, or Company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6" w:name="page157"/>
    <w:bookmarkEnd w:id="156"/>
    <w:p>
      <w:pPr>
        <w:jc w:val="both"/>
        <w:ind w:left="644" w:hanging="644"/>
        <w:spacing w:after="0" w:line="257" w:lineRule="auto"/>
        <w:tabs>
          <w:tab w:leader="none" w:pos="644" w:val="left"/>
        </w:tabs>
        <w:numPr>
          <w:ilvl w:val="0"/>
          <w:numId w:val="171"/>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 by Dealer</w:t>
      </w:r>
      <w:r>
        <w:rPr>
          <w:rFonts w:ascii="Arial" w:cs="Arial" w:eastAsia="Arial" w:hAnsi="Arial"/>
          <w:sz w:val="18"/>
          <w:szCs w:val="18"/>
          <w:color w:val="auto"/>
        </w:rPr>
        <w:t>. In the event that (i) an Early Termination Date occurs or is designated with respect to the Transaction as a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187"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171"/>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For the avoidance of doubt, whenever the Calculation Agent, Determining Party or Dealer is called upon to make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or determine an amount pursuant to the terms of this Confirmation or the Equity Definitions to take into account the effect of an event, the Calculation Agent, Determining Party or Dealer, as the case may be, shall make such adjustment or determine such amount, as the case may be, by reference to the effect of such event on the Hedging Party, assuming that the Hedging Party maintains a commercially reasonable hedge position.</w:t>
      </w:r>
    </w:p>
    <w:p>
      <w:pPr>
        <w:spacing w:after="0" w:line="187"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171"/>
        </w:numPr>
        <w:rPr>
          <w:rFonts w:ascii="Arial" w:cs="Arial" w:eastAsia="Arial" w:hAnsi="Arial"/>
          <w:sz w:val="16"/>
          <w:szCs w:val="16"/>
          <w:color w:val="auto"/>
        </w:rPr>
      </w:pPr>
      <w:r>
        <w:rPr>
          <w:rFonts w:ascii="Arial" w:cs="Arial" w:eastAsia="Arial" w:hAnsi="Arial"/>
          <w:sz w:val="16"/>
          <w:szCs w:val="16"/>
          <w:i w:val="1"/>
          <w:iCs w:val="1"/>
          <w:u w:val="single" w:color="auto"/>
          <w:color w:val="auto"/>
        </w:rPr>
        <w:t>Listing of Warrant Shares</w:t>
      </w:r>
      <w:r>
        <w:rPr>
          <w:rFonts w:ascii="Arial" w:cs="Arial" w:eastAsia="Arial" w:hAnsi="Arial"/>
          <w:sz w:val="16"/>
          <w:szCs w:val="16"/>
          <w:color w:val="auto"/>
        </w:rPr>
        <w:t>. Company shall have submitted an application for the listing of the Warrant Shares on the Exchange, and such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and listing shall have been approved by the Exchange, subject only to official notice of issuance, in each case, on or prior to the Premium Payment Date. Company agrees and acknowledges that such submission and approval shall be a condition precedent for the purpose of Section 2(a)(iii) of the Agreement with respect to each obligation of Dealer under Section 2(a)(i) of the Agreement.</w:t>
      </w:r>
    </w:p>
    <w:p>
      <w:pPr>
        <w:spacing w:after="0" w:line="157"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71"/>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w:t>
      </w:r>
      <w:r>
        <w:rPr>
          <w:rFonts w:ascii="Arial" w:cs="Arial" w:eastAsia="Arial" w:hAnsi="Arial"/>
          <w:sz w:val="18"/>
          <w:szCs w:val="18"/>
          <w:color w:val="auto"/>
        </w:rPr>
        <w:t>. This Confirmation and the Agreement may not be modified, amended or supplemented, except in a written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signed by Company and Dealer.</w:t>
      </w:r>
    </w:p>
    <w:p>
      <w:pPr>
        <w:spacing w:after="0" w:line="17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171"/>
        </w:numPr>
        <w:rPr>
          <w:rFonts w:ascii="Arial" w:cs="Arial" w:eastAsia="Arial" w:hAnsi="Arial"/>
          <w:sz w:val="18"/>
          <w:szCs w:val="18"/>
          <w:color w:val="auto"/>
        </w:rPr>
      </w:pPr>
      <w:r>
        <w:rPr>
          <w:rFonts w:ascii="Arial" w:cs="Arial" w:eastAsia="Arial" w:hAnsi="Arial"/>
          <w:sz w:val="18"/>
          <w:szCs w:val="18"/>
          <w:i w:val="1"/>
          <w:iCs w:val="1"/>
          <w:u w:val="single" w:color="auto"/>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171"/>
        </w:numPr>
        <w:rPr>
          <w:rFonts w:ascii="Arial" w:cs="Arial" w:eastAsia="Arial" w:hAnsi="Arial"/>
          <w:sz w:val="16"/>
          <w:szCs w:val="16"/>
          <w:color w:val="auto"/>
        </w:rPr>
      </w:pPr>
      <w:r>
        <w:rPr>
          <w:rFonts w:ascii="Arial" w:cs="Arial" w:eastAsia="Arial" w:hAnsi="Arial"/>
          <w:sz w:val="16"/>
          <w:szCs w:val="16"/>
          <w:i w:val="1"/>
          <w:iCs w:val="1"/>
          <w:u w:val="single" w:color="auto"/>
          <w:color w:val="auto"/>
        </w:rPr>
        <w:t>Payee Tax Representations</w:t>
      </w:r>
      <w:r>
        <w:rPr>
          <w:rFonts w:ascii="Arial" w:cs="Arial" w:eastAsia="Arial" w:hAnsi="Arial"/>
          <w:sz w:val="16"/>
          <w:szCs w:val="16"/>
          <w:color w:val="auto"/>
        </w:rPr>
        <w:t>. For the purpose of Section 3(f) of the Agreement, the parties make the respective representations below:</w:t>
      </w:r>
    </w:p>
    <w:p>
      <w:pPr>
        <w:spacing w:after="0" w:line="248" w:lineRule="exact"/>
        <w:rPr>
          <w:rFonts w:ascii="Arial" w:cs="Arial" w:eastAsia="Arial" w:hAnsi="Arial"/>
          <w:sz w:val="16"/>
          <w:szCs w:val="16"/>
          <w:color w:val="auto"/>
        </w:rPr>
      </w:pPr>
    </w:p>
    <w:p>
      <w:pPr>
        <w:jc w:val="both"/>
        <w:ind w:left="1304" w:hanging="656"/>
        <w:spacing w:after="0" w:line="286" w:lineRule="auto"/>
        <w:tabs>
          <w:tab w:leader="none" w:pos="130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Company represents that it is a corporation created or organized in the United States or under the laws of the United States and its U.S. taxpayer identification number is 62-0812904. It is “exempt” within the meaning of Treasury Regulation sections 1.6041-3(p) and 1.6049- 4(c) from information reporting on IRS Form 1099 and backup withholding.</w:t>
      </w:r>
    </w:p>
    <w:p>
      <w:pPr>
        <w:spacing w:after="0" w:line="165" w:lineRule="exact"/>
        <w:rPr>
          <w:rFonts w:ascii="Arial" w:cs="Arial" w:eastAsia="Arial" w:hAnsi="Arial"/>
          <w:sz w:val="17"/>
          <w:szCs w:val="17"/>
          <w:color w:val="auto"/>
        </w:rPr>
      </w:pPr>
    </w:p>
    <w:p>
      <w:pPr>
        <w:ind w:left="1304" w:hanging="656"/>
        <w:spacing w:after="0"/>
        <w:tabs>
          <w:tab w:leader="none" w:pos="130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[___]</w:t>
      </w:r>
    </w:p>
    <w:p>
      <w:pPr>
        <w:spacing w:after="0" w:line="225" w:lineRule="exact"/>
        <w:rPr>
          <w:sz w:val="20"/>
          <w:szCs w:val="20"/>
          <w:color w:val="auto"/>
        </w:rPr>
      </w:pPr>
    </w:p>
    <w:p>
      <w:pPr>
        <w:jc w:val="both"/>
        <w:ind w:left="644" w:hanging="644"/>
        <w:spacing w:after="0" w:line="254" w:lineRule="auto"/>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i w:val="1"/>
          <w:iCs w:val="1"/>
          <w:u w:val="single" w:color="auto"/>
          <w:color w:val="auto"/>
        </w:rPr>
        <w:t>Tax Forms</w:t>
      </w:r>
      <w:r>
        <w:rPr>
          <w:rFonts w:ascii="Arial" w:cs="Arial" w:eastAsia="Arial" w:hAnsi="Arial"/>
          <w:sz w:val="18"/>
          <w:szCs w:val="18"/>
          <w:color w:val="auto"/>
        </w:rPr>
        <w:t>. For the purpose of Section 4(a)(i) of the Agreement, Dealer shall provide to Company a valid U.S. Internal Revenue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Form [W-9][W-9/W-8], or any successor thereto, (i) on or before the date of execution of this Confirmation, (ii) promptly upon reasonable demand by Company and (iii) promptly upon learning that any such tax form previously provided by Dealer has become obsolete or incorrect. For the purpose of Section 4(a)(i) of the Agreement, Company shall provide to Dealer a valid U.S. Internal Revenue Service Form W-9, or any successor thereto, (i) on or before the date of execution of this Confirmation, (ii) promptly upon reasonable demand by Dealer and (iii) promptly upon learning that any such tax form previously provided by Company has become obsolete or incorrect.</w:t>
      </w:r>
    </w:p>
    <w:p>
      <w:pPr>
        <w:spacing w:after="0" w:line="194" w:lineRule="exact"/>
        <w:rPr>
          <w:rFonts w:ascii="Arial" w:cs="Arial" w:eastAsia="Arial" w:hAnsi="Arial"/>
          <w:sz w:val="18"/>
          <w:szCs w:val="18"/>
          <w:color w:val="auto"/>
        </w:rPr>
      </w:pPr>
    </w:p>
    <w:p>
      <w:pPr>
        <w:jc w:val="both"/>
        <w:ind w:left="644" w:hanging="644"/>
        <w:spacing w:after="0" w:line="254" w:lineRule="auto"/>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i w:val="1"/>
          <w:iCs w:val="1"/>
          <w:u w:val="single" w:color="auto"/>
          <w:color w:val="auto"/>
        </w:rPr>
        <w:t>United States Foreign Account Tax Compliance Act</w:t>
      </w:r>
      <w:r>
        <w:rPr>
          <w:rFonts w:ascii="Arial" w:cs="Arial" w:eastAsia="Arial" w:hAnsi="Arial"/>
          <w:sz w:val="18"/>
          <w:szCs w:val="18"/>
          <w:color w:val="auto"/>
        </w:rPr>
        <w:t>. “Tax” and “Indemnifiable Tax”, each as defined in Section 14 of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94"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i w:val="1"/>
          <w:iCs w:val="1"/>
          <w:u w:val="single" w:color="auto"/>
          <w:color w:val="auto"/>
        </w:rPr>
        <w:t>HIRE Act</w:t>
      </w:r>
      <w:r>
        <w:rPr>
          <w:rFonts w:ascii="Arial" w:cs="Arial" w:eastAsia="Arial" w:hAnsi="Arial"/>
          <w:sz w:val="18"/>
          <w:szCs w:val="18"/>
          <w:color w:val="auto"/>
        </w:rPr>
        <w:t>. “Tax” and “Indemnifiable Tax”, each as defined in Section 14 of the Agreement, shall not include any tax imposed 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treated as dividends from sources within the United States under Section 871(m) of the Code or any regulations issued thereunder.</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i w:val="1"/>
          <w:iCs w:val="1"/>
          <w:u w:val="single" w:color="auto"/>
          <w:color w:val="auto"/>
        </w:rPr>
        <w:t>[Insert Dealer Boilerplate &amp; QFC]</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16"/>
          <w:szCs w:val="16"/>
          <w:color w:val="auto"/>
        </w:rPr>
        <w:t>Please confirm that the foregoing correctly sets forth the terms of our agreement by executing this Confirmation and returning it to Dealer.</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[DEALER]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20"/>
      </w:cols>
      <w:pgMar w:left="320" w:top="90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1)"/>
      <w:numFmt w:val="lowerRoman"/>
      <w:start w:val="1"/>
    </w:lvl>
  </w:abstractNum>
  <w:abstractNum w:abstractNumId="2">
    <w:nsid w:val="4C04A8AF"/>
    <w:multiLevelType w:val="hybridMultilevel"/>
    <w:lvl w:ilvl="0">
      <w:lvlJc w:val="left"/>
      <w:lvlText w:val="(%1)"/>
      <w:numFmt w:val="decimal"/>
      <w:start w:val="3"/>
    </w:lvl>
    <w:lvl w:ilvl="1">
      <w:lvlJc w:val="left"/>
      <w:lvlText w:val="-"/>
      <w:numFmt w:val="bullet"/>
      <w:start w:val="1"/>
    </w:lvl>
  </w:abstractNum>
  <w:abstractNum w:abstractNumId="3">
    <w:nsid w:val="1716703B"/>
    <w:multiLevelType w:val="hybridMultilevel"/>
    <w:lvl w:ilvl="0">
      <w:lvlJc w:val="left"/>
      <w:lvlText w:val="(%1)"/>
      <w:numFmt w:val="upperLetter"/>
      <w:start w:val="1"/>
    </w:lvl>
  </w:abstractNum>
  <w:abstractNum w:abstractNumId="4">
    <w:nsid w:val="14E17E33"/>
    <w:multiLevelType w:val="hybridMultilevel"/>
    <w:lvl w:ilvl="0">
      <w:lvlJc w:val="left"/>
      <w:lvlText w:val="(%1)"/>
      <w:numFmt w:val="lowerLetter"/>
      <w:start w:val="25"/>
    </w:lvl>
    <w:lvl w:ilvl="1">
      <w:lvlJc w:val="left"/>
      <w:lvlText w:val="-"/>
      <w:numFmt w:val="bullet"/>
      <w:start w:val="1"/>
    </w:lvl>
  </w:abstractNum>
  <w:abstractNum w:abstractNumId="5">
    <w:nsid w:val="3222E7CD"/>
    <w:multiLevelType w:val="hybridMultilevel"/>
    <w:lvl w:ilvl="0">
      <w:lvlJc w:val="left"/>
      <w:lvlText w:val="(%1)"/>
      <w:numFmt w:val="upperLetter"/>
      <w:start w:val="4"/>
    </w:lvl>
  </w:abstractNum>
  <w:abstractNum w:abstractNumId="6">
    <w:nsid w:val="74DE0EE3"/>
    <w:multiLevelType w:val="hybridMultilevel"/>
    <w:lvl w:ilvl="0">
      <w:lvlJc w:val="left"/>
      <w:lvlText w:val="(%1)"/>
      <w:numFmt w:val="upperLetter"/>
      <w:start w:val="1"/>
    </w:lvl>
  </w:abstractNum>
  <w:abstractNum w:abstractNumId="7">
    <w:nsid w:val="68EBC550"/>
    <w:multiLevelType w:val="hybridMultilevel"/>
    <w:lvl w:ilvl="0">
      <w:lvlJc w:val="left"/>
      <w:lvlText w:val="(%1)"/>
      <w:numFmt w:val="decimal"/>
      <w:start w:val="3"/>
    </w:lvl>
    <w:lvl w:ilvl="1">
      <w:lvlJc w:val="left"/>
      <w:lvlText w:val="-"/>
      <w:numFmt w:val="bullet"/>
      <w:start w:val="1"/>
    </w:lvl>
  </w:abstractNum>
  <w:abstractNum w:abstractNumId="8">
    <w:nsid w:val="2DF6D648"/>
    <w:multiLevelType w:val="hybridMultilevel"/>
    <w:lvl w:ilvl="0">
      <w:lvlJc w:val="left"/>
      <w:lvlText w:val="(%1)"/>
      <w:numFmt w:val="upperLetter"/>
      <w:start w:val="1"/>
    </w:lvl>
  </w:abstractNum>
  <w:abstractNum w:abstractNumId="9">
    <w:nsid w:val="46B7D447"/>
    <w:multiLevelType w:val="hybridMultilevel"/>
    <w:lvl w:ilvl="0">
      <w:lvlJc w:val="left"/>
      <w:lvlText w:val="(%1)"/>
      <w:numFmt w:val="upperLetter"/>
      <w:start w:val="1"/>
    </w:lvl>
    <w:lvl w:ilvl="1">
      <w:lvlJc w:val="left"/>
      <w:lvlText w:val="-"/>
      <w:numFmt w:val="bullet"/>
      <w:start w:val="1"/>
    </w:lvl>
  </w:abstractNum>
  <w:abstractNum w:abstractNumId="10">
    <w:nsid w:val="4A2AC31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
    <w:nsid w:val="39EE015C"/>
    <w:multiLevelType w:val="hybridMultilevel"/>
    <w:lvl w:ilvl="0">
      <w:lvlJc w:val="left"/>
      <w:lvlText w:val="(%1)"/>
      <w:numFmt w:val="lowerRoman"/>
      <w:start w:val="3"/>
    </w:lvl>
  </w:abstractNum>
  <w:abstractNum w:abstractNumId="12">
    <w:nsid w:val="57FC4FBB"/>
    <w:multiLevelType w:val="hybridMultilevel"/>
    <w:lvl w:ilvl="0">
      <w:lvlJc w:val="left"/>
      <w:lvlText w:val="(%1)"/>
      <w:numFmt w:val="upperLetter"/>
      <w:start w:val="1"/>
    </w:lvl>
  </w:abstractNum>
  <w:abstractNum w:abstractNumId="13">
    <w:nsid w:val="CC1016F"/>
    <w:multiLevelType w:val="hybridMultilevel"/>
    <w:lvl w:ilvl="0">
      <w:lvlJc w:val="left"/>
      <w:lvlText w:val="(%1)"/>
      <w:numFmt w:val="upperLetter"/>
      <w:start w:val="1"/>
    </w:lvl>
    <w:lvl w:ilvl="1">
      <w:lvlJc w:val="left"/>
      <w:lvlText w:val="-"/>
      <w:numFmt w:val="bullet"/>
      <w:start w:val="1"/>
    </w:lvl>
  </w:abstractNum>
  <w:abstractNum w:abstractNumId="14">
    <w:nsid w:val="43F18422"/>
    <w:multiLevelType w:val="hybridMultilevel"/>
    <w:lvl w:ilvl="0">
      <w:lvlJc w:val="left"/>
      <w:lvlText w:val="(%1)"/>
      <w:numFmt w:val="upperLetter"/>
      <w:start w:val="1"/>
    </w:lvl>
    <w:lvl w:ilvl="1">
      <w:lvlJc w:val="left"/>
      <w:lvlText w:val="-"/>
      <w:numFmt w:val="bullet"/>
      <w:start w:val="1"/>
    </w:lvl>
  </w:abstractNum>
  <w:abstractNum w:abstractNumId="15">
    <w:nsid w:val="60EF0119"/>
    <w:multiLevelType w:val="hybridMultilevel"/>
    <w:lvl w:ilvl="0">
      <w:lvlJc w:val="left"/>
      <w:lvlText w:val="(%1)"/>
      <w:numFmt w:val="upperLetter"/>
      <w:start w:val="1"/>
    </w:lvl>
  </w:abstractNum>
  <w:abstractNum w:abstractNumId="16">
    <w:nsid w:val="26F324BA"/>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7">
    <w:nsid w:val="7F01579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8">
    <w:nsid w:val="49DA307D"/>
    <w:multiLevelType w:val="hybridMultilevel"/>
    <w:lvl w:ilvl="0">
      <w:lvlJc w:val="left"/>
      <w:lvlText w:val="%1"/>
      <w:numFmt w:val="upperLetter"/>
      <w:start w:val="1"/>
    </w:lvl>
    <w:lvl w:ilvl="1">
      <w:lvlJc w:val="left"/>
      <w:lvlText w:val="(%2)"/>
      <w:numFmt w:val="lowerRoman"/>
      <w:start w:val="6"/>
    </w:lvl>
    <w:lvl w:ilvl="2">
      <w:lvlJc w:val="left"/>
      <w:lvlText w:val="%3"/>
      <w:numFmt w:val="decimal"/>
      <w:start w:val="1"/>
    </w:lvl>
    <w:lvl w:ilvl="3">
      <w:lvlJc w:val="left"/>
      <w:lvlText w:val="-"/>
      <w:numFmt w:val="bullet"/>
      <w:start w:val="1"/>
    </w:lvl>
  </w:abstractNum>
  <w:abstractNum w:abstractNumId="19">
    <w:nsid w:val="7055A5F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0">
    <w:nsid w:val="5FB8370B"/>
    <w:multiLevelType w:val="hybridMultilevel"/>
    <w:lvl w:ilvl="0">
      <w:lvlJc w:val="left"/>
      <w:lvlText w:val="(%1)"/>
      <w:numFmt w:val="lowerRoman"/>
      <w:start w:val="2"/>
    </w:lvl>
  </w:abstractNum>
  <w:abstractNum w:abstractNumId="21">
    <w:nsid w:val="50801EE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2">
    <w:nsid w:val="488AC1A"/>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23">
    <w:nsid w:val="5FB8011C"/>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4">
    <w:nsid w:val="6AA78F7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5">
    <w:nsid w:val="7672BD2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abstractNum>
  <w:abstractNum w:abstractNumId="26">
    <w:nsid w:val="6FC75AF8"/>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27">
    <w:nsid w:val="6A5F7029"/>
    <w:multiLevelType w:val="hybridMultilevel"/>
    <w:lvl w:ilvl="0">
      <w:lvlJc w:val="left"/>
      <w:lvlText w:val="(%1)"/>
      <w:numFmt w:val="upperLetter"/>
      <w:start w:val="5"/>
    </w:lvl>
    <w:lvl w:ilvl="1">
      <w:lvlJc w:val="left"/>
      <w:lvlText w:val="-"/>
      <w:numFmt w:val="bullet"/>
      <w:start w:val="1"/>
    </w:lvl>
  </w:abstractNum>
  <w:abstractNum w:abstractNumId="28">
    <w:nsid w:val="7D5E18F8"/>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9">
    <w:nsid w:val="5F3534A4"/>
    <w:multiLevelType w:val="hybridMultilevel"/>
    <w:lvl w:ilvl="0">
      <w:lvlJc w:val="left"/>
      <w:lvlText w:val="(%1)"/>
      <w:numFmt w:val="upperLetter"/>
      <w:start w:val="1"/>
    </w:lvl>
    <w:lvl w:ilvl="1">
      <w:lvlJc w:val="left"/>
      <w:lvlText w:val="-"/>
      <w:numFmt w:val="bullet"/>
      <w:start w:val="1"/>
    </w:lvl>
  </w:abstractNum>
  <w:abstractNum w:abstractNumId="30">
    <w:nsid w:val="73A1821B"/>
    <w:multiLevelType w:val="hybridMultilevel"/>
    <w:lvl w:ilvl="0">
      <w:lvlJc w:val="left"/>
      <w:lvlText w:val="(%1)"/>
      <w:numFmt w:val="upperLetter"/>
      <w:start w:val="2"/>
    </w:lvl>
  </w:abstractNum>
  <w:abstractNum w:abstractNumId="31">
    <w:nsid w:val="7DE67713"/>
    <w:multiLevelType w:val="hybridMultilevel"/>
    <w:lvl w:ilvl="0">
      <w:lvlJc w:val="left"/>
      <w:lvlText w:val="(%1)"/>
      <w:numFmt w:val="upperLetter"/>
      <w:start w:val="5"/>
    </w:lvl>
  </w:abstractNum>
  <w:abstractNum w:abstractNumId="32">
    <w:nsid w:val="555C55B5"/>
    <w:multiLevelType w:val="hybridMultilevel"/>
    <w:lvl w:ilvl="0">
      <w:lvlJc w:val="left"/>
      <w:lvlText w:val="(%1)"/>
      <w:numFmt w:val="upperLetter"/>
      <w:start w:val="1"/>
    </w:lvl>
  </w:abstractNum>
  <w:abstractNum w:abstractNumId="33">
    <w:nsid w:val="3FA62ACA"/>
    <w:multiLevelType w:val="hybridMultilevel"/>
    <w:lvl w:ilvl="0">
      <w:lvlJc w:val="left"/>
      <w:lvlText w:val="(%1)"/>
      <w:numFmt w:val="upperLetter"/>
      <w:start w:val="1"/>
    </w:lvl>
  </w:abstractNum>
  <w:abstractNum w:abstractNumId="34">
    <w:nsid w:val="14FCE74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5">
    <w:nsid w:val="6A3DD3E8"/>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36">
    <w:nsid w:val="71C91298"/>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7">
    <w:nsid w:val="9DAF632"/>
    <w:multiLevelType w:val="hybridMultilevel"/>
    <w:lvl w:ilvl="0">
      <w:lvlJc w:val="left"/>
      <w:lvlText w:val="(%1)"/>
      <w:numFmt w:val="upperLetter"/>
      <w:start w:val="1"/>
    </w:lvl>
  </w:abstractNum>
  <w:abstractNum w:abstractNumId="38">
    <w:nsid w:val="53299938"/>
    <w:multiLevelType w:val="hybridMultilevel"/>
    <w:lvl w:ilvl="0">
      <w:lvlJc w:val="left"/>
      <w:lvlText w:val="(%1)"/>
      <w:numFmt w:val="upperLetter"/>
      <w:start w:val="1"/>
    </w:lvl>
    <w:lvl w:ilvl="1">
      <w:lvlJc w:val="left"/>
      <w:lvlText w:val="-"/>
      <w:numFmt w:val="bullet"/>
      <w:start w:val="1"/>
    </w:lvl>
  </w:abstractNum>
  <w:abstractNum w:abstractNumId="39">
    <w:nsid w:val="1FBFE8E0"/>
    <w:multiLevelType w:val="hybridMultilevel"/>
    <w:lvl w:ilvl="0">
      <w:lvlJc w:val="left"/>
      <w:lvlText w:val="(%1)"/>
      <w:numFmt w:val="upperLetter"/>
      <w:start w:val="5"/>
    </w:lvl>
  </w:abstractNum>
  <w:abstractNum w:abstractNumId="40">
    <w:nsid w:val="5092CA79"/>
    <w:multiLevelType w:val="hybridMultilevel"/>
    <w:lvl w:ilvl="0">
      <w:lvlJc w:val="left"/>
      <w:lvlText w:val="(%1)"/>
      <w:numFmt w:val="lowerRoman"/>
      <w:start w:val="1"/>
    </w:lvl>
  </w:abstractNum>
  <w:abstractNum w:abstractNumId="41">
    <w:nsid w:val="1D545C4D"/>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2">
    <w:nsid w:val="59ADEA3D"/>
    <w:multiLevelType w:val="hybridMultilevel"/>
    <w:lvl w:ilvl="0">
      <w:lvlJc w:val="left"/>
      <w:lvlText w:val="(%1)"/>
      <w:numFmt w:val="lowerRoman"/>
      <w:start w:val="2"/>
    </w:lvl>
    <w:lvl w:ilvl="1">
      <w:lvlJc w:val="left"/>
      <w:lvlText w:val="(%2)"/>
      <w:numFmt w:val="decimal"/>
      <w:start w:val="1"/>
    </w:lvl>
  </w:abstractNum>
  <w:abstractNum w:abstractNumId="43">
    <w:nsid w:val="288F1A34"/>
    <w:multiLevelType w:val="hybridMultilevel"/>
    <w:lvl w:ilvl="0">
      <w:lvlJc w:val="left"/>
      <w:lvlText w:val="(%1)"/>
      <w:numFmt w:val="lowerRoman"/>
      <w:start w:val="3"/>
    </w:lvl>
    <w:lvl w:ilvl="1">
      <w:lvlJc w:val="left"/>
      <w:lvlText w:val="(%2)"/>
      <w:numFmt w:val="decimal"/>
      <w:start w:val="1"/>
    </w:lvl>
  </w:abstractNum>
  <w:abstractNum w:abstractNumId="44">
    <w:nsid w:val="2A155DBC"/>
    <w:multiLevelType w:val="hybridMultilevel"/>
    <w:lvl w:ilvl="0">
      <w:lvlJc w:val="left"/>
      <w:lvlText w:val="(%1)"/>
      <w:numFmt w:val="upperLetter"/>
      <w:start w:val="7"/>
    </w:lvl>
    <w:lvl w:ilvl="1">
      <w:lvlJc w:val="left"/>
      <w:lvlText w:val="-"/>
      <w:numFmt w:val="bullet"/>
      <w:start w:val="1"/>
    </w:lvl>
  </w:abstractNum>
  <w:abstractNum w:abstractNumId="45">
    <w:nsid w:val="1D9F6E5F"/>
    <w:multiLevelType w:val="hybridMultilevel"/>
    <w:lvl w:ilvl="0">
      <w:lvlJc w:val="left"/>
      <w:lvlText w:val="(%1)"/>
      <w:numFmt w:val="upperLetter"/>
      <w:start w:val="10"/>
    </w:lvl>
  </w:abstractNum>
  <w:abstractNum w:abstractNumId="46">
    <w:nsid w:val="97E1B4E"/>
    <w:multiLevelType w:val="hybridMultilevel"/>
    <w:lvl w:ilvl="0">
      <w:lvlJc w:val="left"/>
      <w:lvlText w:val="(%1)"/>
      <w:numFmt w:val="upperLetter"/>
      <w:start w:val="1"/>
    </w:lvl>
    <w:lvl w:ilvl="1">
      <w:lvlJc w:val="left"/>
      <w:lvlText w:val="-"/>
      <w:numFmt w:val="bullet"/>
      <w:start w:val="1"/>
    </w:lvl>
  </w:abstractNum>
  <w:abstractNum w:abstractNumId="47">
    <w:nsid w:val="51088277"/>
    <w:multiLevelType w:val="hybridMultilevel"/>
    <w:lvl w:ilvl="0">
      <w:lvlJc w:val="left"/>
      <w:lvlText w:val="(%1)"/>
      <w:numFmt w:val="upperLetter"/>
      <w:start w:val="4"/>
    </w:lvl>
  </w:abstractNum>
  <w:abstractNum w:abstractNumId="48">
    <w:nsid w:val="1CA0C5FA"/>
    <w:multiLevelType w:val="hybridMultilevel"/>
    <w:lvl w:ilvl="0">
      <w:lvlJc w:val="left"/>
      <w:lvlText w:val="(%1)"/>
      <w:numFmt w:val="lowerRoman"/>
      <w:start w:val="1"/>
    </w:lvl>
    <w:lvl w:ilvl="1">
      <w:lvlJc w:val="left"/>
      <w:lvlText w:val="-"/>
      <w:numFmt w:val="bullet"/>
      <w:start w:val="1"/>
    </w:lvl>
  </w:abstractNum>
  <w:abstractNum w:abstractNumId="49">
    <w:nsid w:val="53584BCB"/>
    <w:multiLevelType w:val="hybridMultilevel"/>
    <w:lvl w:ilvl="0">
      <w:lvlJc w:val="left"/>
      <w:lvlText w:val="(%1)"/>
      <w:numFmt w:val="lowerRoman"/>
      <w:start w:val="5"/>
    </w:lvl>
  </w:abstractNum>
  <w:abstractNum w:abstractNumId="50">
    <w:nsid w:val="415E286C"/>
    <w:multiLevelType w:val="hybridMultilevel"/>
    <w:lvl w:ilvl="0">
      <w:lvlJc w:val="left"/>
      <w:lvlText w:val="(%1)"/>
      <w:numFmt w:val="upperLetter"/>
      <w:start w:val="7"/>
    </w:lvl>
    <w:lvl w:ilvl="1">
      <w:lvlJc w:val="left"/>
      <w:lvlText w:val="(%2)"/>
      <w:numFmt w:val="lowerRoman"/>
      <w:start w:val="1"/>
    </w:lvl>
    <w:lvl w:ilvl="2">
      <w:lvlJc w:val="left"/>
      <w:lvlText w:val="-"/>
      <w:numFmt w:val="bullet"/>
      <w:start w:val="1"/>
    </w:lvl>
  </w:abstractNum>
  <w:abstractNum w:abstractNumId="51">
    <w:nsid w:val="7C58FD0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52">
    <w:nsid w:val="23D86AAC"/>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53">
    <w:nsid w:val="45E6D486"/>
    <w:multiLevelType w:val="hybridMultilevel"/>
    <w:lvl w:ilvl="0">
      <w:lvlJc w:val="left"/>
      <w:lvlText w:val="(%1)"/>
      <w:numFmt w:val="upperLetter"/>
      <w:start w:val="35"/>
    </w:lvl>
  </w:abstractNum>
  <w:abstractNum w:abstractNumId="54">
    <w:nsid w:val="5C10FE21"/>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5">
    <w:nsid w:val="E7FFA2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6">
    <w:nsid w:val="3C5991AA"/>
    <w:multiLevelType w:val="hybridMultilevel"/>
    <w:lvl w:ilvl="0">
      <w:lvlJc w:val="left"/>
      <w:lvlText w:val="(%1)"/>
      <w:numFmt w:val="lowerRoman"/>
      <w:start w:val="2"/>
    </w:lvl>
    <w:lvl w:ilvl="1">
      <w:lvlJc w:val="left"/>
      <w:lvlText w:val="(%2)"/>
      <w:numFmt w:val="decimal"/>
      <w:start w:val="1"/>
    </w:lvl>
  </w:abstractNum>
  <w:abstractNum w:abstractNumId="57">
    <w:nsid w:val="4BD8591A"/>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8">
    <w:nsid w:val="78DF6A55"/>
    <w:multiLevelType w:val="hybridMultilevel"/>
    <w:lvl w:ilvl="0">
      <w:lvlJc w:val="left"/>
      <w:lvlText w:val="(%1)"/>
      <w:numFmt w:val="upperLetter"/>
      <w:start w:val="3"/>
    </w:lvl>
    <w:lvl w:ilvl="1">
      <w:lvlJc w:val="left"/>
      <w:lvlText w:val="-"/>
      <w:numFmt w:val="bullet"/>
      <w:start w:val="1"/>
    </w:lvl>
  </w:abstractNum>
  <w:abstractNum w:abstractNumId="59">
    <w:nsid w:val="39B7AAA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0">
    <w:nsid w:val="2B0D8DBE"/>
    <w:multiLevelType w:val="hybridMultilevel"/>
    <w:lvl w:ilvl="0">
      <w:lvlJc w:val="left"/>
      <w:lvlText w:val="%1"/>
      <w:numFmt w:val="decimal"/>
      <w:start w:val="1"/>
    </w:lvl>
    <w:lvl w:ilvl="1">
      <w:lvlJc w:val="left"/>
      <w:lvlText w:val="%2"/>
      <w:numFmt w:val="lowerRoman"/>
      <w:start w:val="1"/>
    </w:lvl>
    <w:lvl w:ilvl="2">
      <w:lvlJc w:val="left"/>
      <w:lvlText w:val="(%3)"/>
      <w:numFmt w:val="decimal"/>
      <w:start w:val="5"/>
    </w:lvl>
    <w:lvl w:ilvl="3">
      <w:lvlJc w:val="left"/>
      <w:lvlText w:val="-"/>
      <w:numFmt w:val="bullet"/>
      <w:start w:val="1"/>
    </w:lvl>
  </w:abstractNum>
  <w:abstractNum w:abstractNumId="61">
    <w:nsid w:val="6C80EC70"/>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62">
    <w:nsid w:val="379E21B5"/>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63">
    <w:nsid w:val="69E373"/>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4">
    <w:nsid w:val="2C27173B"/>
    <w:multiLevelType w:val="hybridMultilevel"/>
    <w:lvl w:ilvl="0">
      <w:lvlJc w:val="left"/>
      <w:lvlText w:val="(%1)"/>
      <w:numFmt w:val="upperLetter"/>
      <w:start w:val="1"/>
    </w:lvl>
  </w:abstractNum>
  <w:abstractNum w:abstractNumId="65">
    <w:nsid w:val="4C9B090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66">
    <w:nsid w:val="6AA7B75C"/>
    <w:multiLevelType w:val="hybridMultilevel"/>
    <w:lvl w:ilvl="0">
      <w:lvlJc w:val="left"/>
      <w:lvlText w:val="(%1)"/>
      <w:numFmt w:val="lowerRoman"/>
      <w:start w:val="2"/>
    </w:lvl>
  </w:abstractNum>
  <w:abstractNum w:abstractNumId="67">
    <w:nsid w:val="1DF029D3"/>
    <w:multiLevelType w:val="hybridMultilevel"/>
    <w:lvl w:ilvl="0">
      <w:lvlJc w:val="left"/>
      <w:lvlText w:val="X"/>
      <w:numFmt w:val="bullet"/>
      <w:start w:val="1"/>
    </w:lvl>
  </w:abstractNum>
  <w:abstractNum w:abstractNumId="68">
    <w:nsid w:val="5675FF36"/>
    <w:multiLevelType w:val="hybridMultilevel"/>
    <w:lvl w:ilvl="0">
      <w:lvlJc w:val="left"/>
      <w:lvlText w:val="Y"/>
      <w:numFmt w:val="bullet"/>
      <w:start w:val="1"/>
    </w:lvl>
  </w:abstractNum>
  <w:abstractNum w:abstractNumId="69">
    <w:nsid w:val="3DD1509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2"/>
    </w:lvl>
    <w:lvl w:ilvl="3">
      <w:lvlJc w:val="left"/>
      <w:lvlText w:val="-"/>
      <w:numFmt w:val="bullet"/>
      <w:start w:val="1"/>
    </w:lvl>
  </w:abstractNum>
  <w:abstractNum w:abstractNumId="70">
    <w:nsid w:val="3DB012B3"/>
    <w:multiLevelType w:val="hybridMultilevel"/>
    <w:lvl w:ilvl="0">
      <w:lvlJc w:val="left"/>
      <w:lvlText w:val="(%1)"/>
      <w:numFmt w:val="lowerLetter"/>
      <w:start w:val="24"/>
    </w:lvl>
  </w:abstractNum>
  <w:abstractNum w:abstractNumId="71">
    <w:nsid w:val="2708C9AF"/>
    <w:multiLevelType w:val="hybridMultilevel"/>
    <w:lvl w:ilvl="0">
      <w:lvlJc w:val="left"/>
      <w:lvlText w:val="(%1)"/>
      <w:numFmt w:val="decimal"/>
      <w:start w:val="2"/>
    </w:lvl>
  </w:abstractNum>
  <w:abstractNum w:abstractNumId="72">
    <w:nsid w:val="5B25ACE2"/>
    <w:multiLevelType w:val="hybridMultilevel"/>
    <w:lvl w:ilvl="0">
      <w:lvlJc w:val="left"/>
      <w:lvlText w:val="(%1)"/>
      <w:numFmt w:val="lowerRoman"/>
      <w:start w:val="4"/>
    </w:lvl>
  </w:abstractNum>
  <w:abstractNum w:abstractNumId="73">
    <w:nsid w:val="175DFCF0"/>
    <w:multiLevelType w:val="hybridMultilevel"/>
    <w:lvl w:ilvl="0">
      <w:lvlJc w:val="left"/>
      <w:lvlText w:val="D"/>
      <w:numFmt w:val="bullet"/>
      <w:start w:val="1"/>
    </w:lvl>
  </w:abstractNum>
  <w:abstractNum w:abstractNumId="74">
    <w:nsid w:val="4F97E3E4"/>
    <w:multiLevelType w:val="hybridMultilevel"/>
    <w:lvl w:ilvl="0">
      <w:lvlJc w:val="left"/>
      <w:lvlText w:val="(%1)"/>
      <w:numFmt w:val="lowerRoman"/>
      <w:start w:val="5"/>
    </w:lvl>
    <w:lvl w:ilvl="1">
      <w:lvlJc w:val="left"/>
      <w:lvlText w:val="-"/>
      <w:numFmt w:val="bullet"/>
      <w:start w:val="1"/>
    </w:lvl>
  </w:abstractNum>
  <w:abstractNum w:abstractNumId="75">
    <w:nsid w:val="53B0A9E"/>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6">
    <w:nsid w:val="34FD6B4F"/>
    <w:multiLevelType w:val="hybridMultilevel"/>
    <w:lvl w:ilvl="0">
      <w:lvlJc w:val="left"/>
      <w:lvlText w:val="(%1)"/>
      <w:numFmt w:val="upperLetter"/>
      <w:start w:val="3"/>
    </w:lvl>
    <w:lvl w:ilvl="1">
      <w:lvlJc w:val="left"/>
      <w:lvlText w:val="(%2)"/>
      <w:numFmt w:val="lowerRoman"/>
      <w:start w:val="1"/>
    </w:lvl>
  </w:abstractNum>
  <w:abstractNum w:abstractNumId="77">
    <w:nsid w:val="5915FF32"/>
    <w:multiLevelType w:val="hybridMultilevel"/>
    <w:lvl w:ilvl="0">
      <w:lvlJc w:val="left"/>
      <w:lvlText w:val="(%1)"/>
      <w:numFmt w:val="upperLetter"/>
      <w:start w:val="5"/>
    </w:lvl>
    <w:lvl w:ilvl="1">
      <w:lvlJc w:val="left"/>
      <w:lvlText w:val="(%2)"/>
      <w:numFmt w:val="lowerRoman"/>
      <w:start w:val="1"/>
    </w:lvl>
    <w:lvl w:ilvl="2">
      <w:lvlJc w:val="left"/>
      <w:lvlText w:val="-"/>
      <w:numFmt w:val="bullet"/>
      <w:start w:val="1"/>
    </w:lvl>
  </w:abstractNum>
  <w:abstractNum w:abstractNumId="78">
    <w:nsid w:val="56438D15"/>
    <w:multiLevelType w:val="hybridMultilevel"/>
    <w:lvl w:ilvl="0">
      <w:lvlJc w:val="left"/>
      <w:lvlText w:val="(%1)"/>
      <w:numFmt w:val="upperLetter"/>
      <w:start w:val="6"/>
    </w:lvl>
    <w:lvl w:ilvl="1">
      <w:lvlJc w:val="left"/>
      <w:lvlText w:val="-"/>
      <w:numFmt w:val="bullet"/>
      <w:start w:val="1"/>
    </w:lvl>
  </w:abstractNum>
  <w:abstractNum w:abstractNumId="79">
    <w:nsid w:val="519E3149"/>
    <w:multiLevelType w:val="hybridMultilevel"/>
    <w:lvl w:ilvl="0">
      <w:lvlJc w:val="left"/>
      <w:lvlText w:val="(%1)"/>
      <w:numFmt w:val="upperLetter"/>
      <w:start w:val="11"/>
    </w:lvl>
  </w:abstractNum>
  <w:abstractNum w:abstractNumId="80">
    <w:nsid w:val="2C6E4AFD"/>
    <w:multiLevelType w:val="hybridMultilevel"/>
    <w:lvl w:ilvl="0">
      <w:lvlJc w:val="left"/>
      <w:lvlText w:val="(%1)"/>
      <w:numFmt w:val="upperLetter"/>
      <w:start w:val="1"/>
    </w:lvl>
  </w:abstractNum>
  <w:abstractNum w:abstractNumId="81">
    <w:nsid w:val="17A1B582"/>
    <w:multiLevelType w:val="hybridMultilevel"/>
    <w:lvl w:ilvl="0">
      <w:lvlJc w:val="left"/>
      <w:lvlText w:val="(%1)"/>
      <w:numFmt w:val="upperLetter"/>
      <w:start w:val="1"/>
    </w:lvl>
  </w:abstractNum>
  <w:abstractNum w:abstractNumId="82">
    <w:nsid w:val="4DF72E4E"/>
    <w:multiLevelType w:val="hybridMultilevel"/>
    <w:lvl w:ilvl="0">
      <w:lvlJc w:val="left"/>
      <w:lvlText w:val="(%1)"/>
      <w:numFmt w:val="lowerRoman"/>
      <w:start w:val="1"/>
    </w:lvl>
    <w:lvl w:ilvl="1">
      <w:lvlJc w:val="left"/>
      <w:lvlText w:val="-"/>
      <w:numFmt w:val="bullet"/>
      <w:start w:val="1"/>
    </w:lvl>
  </w:abstractNum>
  <w:abstractNum w:abstractNumId="83">
    <w:nsid w:val="5046B5A9"/>
    <w:multiLevelType w:val="hybridMultilevel"/>
    <w:lvl w:ilvl="0">
      <w:lvlJc w:val="left"/>
      <w:lvlText w:val="(%1)"/>
      <w:numFmt w:val="lowerRoman"/>
      <w:start w:val="2"/>
    </w:lvl>
  </w:abstractNum>
  <w:abstractNum w:abstractNumId="84">
    <w:nsid w:val="5D888A08"/>
    <w:multiLevelType w:val="hybridMultilevel"/>
    <w:lvl w:ilvl="0">
      <w:lvlJc w:val="left"/>
      <w:lvlText w:val="(%1)"/>
      <w:numFmt w:val="upperLetter"/>
      <w:start w:val="2"/>
    </w:lvl>
  </w:abstractNum>
  <w:abstractNum w:abstractNumId="85">
    <w:nsid w:val="2A082C70"/>
    <w:multiLevelType w:val="hybridMultilevel"/>
    <w:lvl w:ilvl="0">
      <w:lvlJc w:val="left"/>
      <w:lvlText w:val="(%1)"/>
      <w:numFmt w:val="upperLetter"/>
      <w:start w:val="1"/>
    </w:lvl>
  </w:abstractNum>
  <w:abstractNum w:abstractNumId="86">
    <w:nsid w:val="5EC6AFD4"/>
    <w:multiLevelType w:val="hybridMultilevel"/>
    <w:lvl w:ilvl="0">
      <w:lvlJc w:val="left"/>
      <w:lvlText w:val="(%1)"/>
      <w:numFmt w:val="upperLetter"/>
      <w:start w:val="1"/>
    </w:lvl>
    <w:lvl w:ilvl="1">
      <w:lvlJc w:val="left"/>
      <w:lvlText w:val="(%2)"/>
      <w:numFmt w:val="lowerRoman"/>
      <w:start w:val="1"/>
    </w:lvl>
  </w:abstractNum>
  <w:abstractNum w:abstractNumId="87">
    <w:nsid w:val="19E21BB2"/>
    <w:multiLevelType w:val="hybridMultilevel"/>
    <w:lvl w:ilvl="0">
      <w:lvlJc w:val="left"/>
      <w:lvlText w:val="(%1)"/>
      <w:numFmt w:val="decimal"/>
      <w:start w:val="1"/>
    </w:lvl>
  </w:abstractNum>
  <w:abstractNum w:abstractNumId="88">
    <w:nsid w:val="75E0858A"/>
    <w:multiLevelType w:val="hybridMultilevel"/>
    <w:lvl w:ilvl="0">
      <w:lvlJc w:val="left"/>
      <w:lvlText w:val="(%1)"/>
      <w:numFmt w:val="upperLetter"/>
      <w:start w:val="2"/>
    </w:lvl>
  </w:abstractNum>
  <w:abstractNum w:abstractNumId="89">
    <w:nsid w:val="57A61A29"/>
    <w:multiLevelType w:val="hybridMultilevel"/>
    <w:lvl w:ilvl="0">
      <w:lvlJc w:val="left"/>
      <w:lvlText w:val="(%1)"/>
      <w:numFmt w:val="upperLetter"/>
      <w:start w:val="1"/>
    </w:lvl>
    <w:lvl w:ilvl="1">
      <w:lvlJc w:val="left"/>
      <w:lvlText w:val="(%2)"/>
      <w:numFmt w:val="lowerRoman"/>
      <w:start w:val="1"/>
    </w:lvl>
  </w:abstractNum>
  <w:abstractNum w:abstractNumId="90">
    <w:nsid w:val="5399C65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91">
    <w:nsid w:val="20EE1348"/>
    <w:multiLevelType w:val="hybridMultilevel"/>
    <w:lvl w:ilvl="0">
      <w:lvlJc w:val="left"/>
      <w:lvlText w:val="(%1)"/>
      <w:numFmt w:val="decimal"/>
      <w:start w:val="2"/>
    </w:lvl>
  </w:abstractNum>
  <w:abstractNum w:abstractNumId="92">
    <w:nsid w:val="4427069A"/>
    <w:multiLevelType w:val="hybridMultilevel"/>
    <w:lvl w:ilvl="0">
      <w:lvlJc w:val="left"/>
      <w:lvlText w:val="(%1)"/>
      <w:numFmt w:val="lowerRoman"/>
      <w:start w:val="8"/>
    </w:lvl>
    <w:lvl w:ilvl="1">
      <w:lvlJc w:val="left"/>
      <w:lvlText w:val="(%2)"/>
      <w:numFmt w:val="decimal"/>
      <w:start w:val="1"/>
    </w:lvl>
  </w:abstractNum>
  <w:abstractNum w:abstractNumId="93">
    <w:nsid w:val="B37E80A"/>
    <w:multiLevelType w:val="hybridMultilevel"/>
    <w:lvl w:ilvl="0">
      <w:lvlJc w:val="left"/>
      <w:lvlText w:val="(%1)"/>
      <w:numFmt w:val="upperLetter"/>
      <w:start w:val="2"/>
    </w:lvl>
    <w:lvl w:ilvl="1">
      <w:lvlJc w:val="left"/>
      <w:lvlText w:val="-"/>
      <w:numFmt w:val="bullet"/>
      <w:start w:val="1"/>
    </w:lvl>
  </w:abstractNum>
  <w:abstractNum w:abstractNumId="94">
    <w:nsid w:val="2157F6BC"/>
    <w:multiLevelType w:val="hybridMultilevel"/>
    <w:lvl w:ilvl="0">
      <w:lvlJc w:val="left"/>
      <w:lvlText w:val="%1"/>
      <w:numFmt w:val="lowerRoman"/>
      <w:start w:val="1"/>
    </w:lvl>
    <w:lvl w:ilvl="1">
      <w:lvlJc w:val="left"/>
      <w:lvlText w:val="(%2)"/>
      <w:numFmt w:val="upperLetter"/>
      <w:start w:val="1"/>
    </w:lvl>
  </w:abstractNum>
  <w:abstractNum w:abstractNumId="95">
    <w:nsid w:val="704E1DD5"/>
    <w:multiLevelType w:val="hybridMultilevel"/>
    <w:lvl w:ilvl="0">
      <w:lvlJc w:val="left"/>
      <w:lvlText w:val="(%1)"/>
      <w:numFmt w:val="lowerRoman"/>
      <w:start w:val="8"/>
    </w:lvl>
    <w:lvl w:ilvl="1">
      <w:lvlJc w:val="left"/>
      <w:lvlText w:val="(%2)"/>
      <w:numFmt w:val="upperLetter"/>
      <w:start w:val="3"/>
    </w:lvl>
  </w:abstractNum>
  <w:abstractNum w:abstractNumId="96">
    <w:nsid w:val="57D2F10E"/>
    <w:multiLevelType w:val="hybridMultilevel"/>
    <w:lvl w:ilvl="0">
      <w:lvlJc w:val="left"/>
      <w:lvlText w:val="(%1)"/>
      <w:numFmt w:val="upperLetter"/>
      <w:start w:val="1"/>
    </w:lvl>
    <w:lvl w:ilvl="1">
      <w:lvlJc w:val="left"/>
      <w:lvlText w:val="-"/>
      <w:numFmt w:val="bullet"/>
      <w:start w:val="1"/>
    </w:lvl>
  </w:abstractNum>
  <w:abstractNum w:abstractNumId="97">
    <w:nsid w:val="BFFAE18"/>
    <w:multiLevelType w:val="hybridMultilevel"/>
    <w:lvl w:ilvl="0">
      <w:lvlJc w:val="left"/>
      <w:lvlText w:val="(%1)"/>
      <w:numFmt w:val="upperLetter"/>
      <w:start w:val="3"/>
    </w:lvl>
  </w:abstractNum>
  <w:abstractNum w:abstractNumId="98">
    <w:nsid w:val="E3E47A8"/>
    <w:multiLevelType w:val="hybridMultilevel"/>
    <w:lvl w:ilvl="0">
      <w:lvlJc w:val="left"/>
      <w:lvlText w:val="(%1)"/>
      <w:numFmt w:val="upperLetter"/>
      <w:start w:val="1"/>
    </w:lvl>
  </w:abstractNum>
  <w:abstractNum w:abstractNumId="99">
    <w:nsid w:val="2E48F044"/>
    <w:multiLevelType w:val="hybridMultilevel"/>
    <w:lvl w:ilvl="0">
      <w:lvlJc w:val="left"/>
      <w:lvlText w:val="(%1)"/>
      <w:numFmt w:val="upperLetter"/>
      <w:start w:val="1"/>
    </w:lvl>
  </w:abstractNum>
  <w:abstractNum w:abstractNumId="100">
    <w:nsid w:val="49D0FEAC"/>
    <w:multiLevelType w:val="hybridMultilevel"/>
    <w:lvl w:ilvl="0">
      <w:lvlJc w:val="left"/>
      <w:lvlText w:val="(%1)"/>
      <w:numFmt w:val="upperLetter"/>
      <w:start w:val="1"/>
    </w:lvl>
    <w:lvl w:ilvl="1">
      <w:lvlJc w:val="left"/>
      <w:lvlText w:val="-"/>
      <w:numFmt w:val="bullet"/>
      <w:start w:val="1"/>
    </w:lvl>
  </w:abstractNum>
  <w:abstractNum w:abstractNumId="101">
    <w:nsid w:val="4BEE5A5B"/>
    <w:multiLevelType w:val="hybridMultilevel"/>
    <w:lvl w:ilvl="0">
      <w:lvlJc w:val="left"/>
      <w:lvlText w:val="(%1)"/>
      <w:numFmt w:val="upperLetter"/>
      <w:start w:val="7"/>
    </w:lvl>
  </w:abstractNum>
  <w:abstractNum w:abstractNumId="102">
    <w:nsid w:val="5551B9F3"/>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03">
    <w:nsid w:val="24F6AB8E"/>
    <w:multiLevelType w:val="hybridMultilevel"/>
    <w:lvl w:ilvl="0">
      <w:lvlJc w:val="left"/>
      <w:lvlText w:val="(%1)"/>
      <w:numFmt w:val="lowerRoman"/>
      <w:start w:val="8"/>
    </w:lvl>
  </w:abstractNum>
  <w:abstractNum w:abstractNumId="104">
    <w:nsid w:val="634C574C"/>
    <w:multiLevelType w:val="hybridMultilevel"/>
    <w:lvl w:ilvl="0">
      <w:lvlJc w:val="left"/>
      <w:lvlText w:val="(%1)"/>
      <w:numFmt w:val="upperLetter"/>
      <w:start w:val="2"/>
    </w:lvl>
  </w:abstractNum>
  <w:abstractNum w:abstractNumId="105">
    <w:nsid w:val="24E99DD7"/>
    <w:multiLevelType w:val="hybridMultilevel"/>
    <w:lvl w:ilvl="0">
      <w:lvlJc w:val="left"/>
      <w:lvlText w:val="(%1)"/>
      <w:numFmt w:val="upperLetter"/>
      <w:start w:val="1"/>
    </w:lvl>
    <w:lvl w:ilvl="1">
      <w:lvlJc w:val="left"/>
      <w:lvlText w:val="-"/>
      <w:numFmt w:val="bullet"/>
      <w:start w:val="1"/>
    </w:lvl>
  </w:abstractNum>
  <w:abstractNum w:abstractNumId="106">
    <w:nsid w:val="2A31B62D"/>
    <w:multiLevelType w:val="hybridMultilevel"/>
    <w:lvl w:ilvl="0">
      <w:lvlJc w:val="left"/>
      <w:lvlText w:val="(%1)"/>
      <w:numFmt w:val="upperLetter"/>
      <w:start w:val="3"/>
    </w:lvl>
  </w:abstractNum>
  <w:abstractNum w:abstractNumId="107">
    <w:nsid w:val="1849C29B"/>
    <w:multiLevelType w:val="hybridMultilevel"/>
    <w:lvl w:ilvl="0">
      <w:lvlJc w:val="left"/>
      <w:lvlText w:val="(%1)"/>
      <w:numFmt w:val="upperLetter"/>
      <w:start w:val="1"/>
    </w:lvl>
    <w:lvl w:ilvl="1">
      <w:lvlJc w:val="left"/>
      <w:lvlText w:val="-"/>
      <w:numFmt w:val="bullet"/>
      <w:start w:val="1"/>
    </w:lvl>
  </w:abstractNum>
  <w:abstractNum w:abstractNumId="108">
    <w:nsid w:val="7DFF9D09"/>
    <w:multiLevelType w:val="hybridMultilevel"/>
    <w:lvl w:ilvl="0">
      <w:lvlJc w:val="left"/>
      <w:lvlText w:val="(%1)"/>
      <w:numFmt w:val="upperLetter"/>
      <w:start w:val="2"/>
    </w:lvl>
  </w:abstractNum>
  <w:abstractNum w:abstractNumId="109">
    <w:nsid w:val="754342"/>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0">
    <w:nsid w:val="69E7F3E5"/>
    <w:multiLevelType w:val="hybridMultilevel"/>
    <w:lvl w:ilvl="0">
      <w:lvlJc w:val="left"/>
      <w:lvlText w:val="(%1)"/>
      <w:numFmt w:val="upperLetter"/>
      <w:start w:val="1"/>
    </w:lvl>
    <w:lvl w:ilvl="1">
      <w:lvlJc w:val="left"/>
      <w:lvlText w:val="-"/>
      <w:numFmt w:val="bullet"/>
      <w:start w:val="1"/>
    </w:lvl>
  </w:abstractNum>
  <w:abstractNum w:abstractNumId="111">
    <w:nsid w:val="2A6DE806"/>
    <w:multiLevelType w:val="hybridMultilevel"/>
    <w:lvl w:ilvl="0">
      <w:lvlJc w:val="left"/>
      <w:lvlText w:val="(%1)"/>
      <w:numFmt w:val="upperLetter"/>
      <w:start w:val="11"/>
    </w:lvl>
  </w:abstractNum>
  <w:abstractNum w:abstractNumId="112">
    <w:nsid w:val="1816F8C4"/>
    <w:multiLevelType w:val="hybridMultilevel"/>
    <w:lvl w:ilvl="0">
      <w:lvlJc w:val="left"/>
      <w:lvlText w:val="(%1)"/>
      <w:numFmt w:val="upperLetter"/>
      <w:start w:val="1"/>
    </w:lvl>
    <w:lvl w:ilvl="1">
      <w:lvlJc w:val="left"/>
      <w:lvlText w:val="-"/>
      <w:numFmt w:val="bullet"/>
      <w:start w:val="1"/>
    </w:lvl>
  </w:abstractNum>
  <w:abstractNum w:abstractNumId="113">
    <w:nsid w:val="37DF2233"/>
    <w:multiLevelType w:val="hybridMultilevel"/>
    <w:lvl w:ilvl="0">
      <w:lvlJc w:val="left"/>
      <w:lvlText w:val="(%1)"/>
      <w:numFmt w:val="upperLetter"/>
      <w:start w:val="2"/>
    </w:lvl>
  </w:abstractNum>
  <w:abstractNum w:abstractNumId="114">
    <w:nsid w:val="7AB49DAF"/>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5">
    <w:nsid w:val="759F82CD"/>
    <w:multiLevelType w:val="hybridMultilevel"/>
    <w:lvl w:ilvl="0">
      <w:lvlJc w:val="left"/>
      <w:lvlText w:val="(%1)"/>
      <w:numFmt w:val="upperLetter"/>
      <w:start w:val="3"/>
    </w:lvl>
  </w:abstractNum>
  <w:abstractNum w:abstractNumId="116">
    <w:nsid w:val="61E74EA3"/>
    <w:multiLevelType w:val="hybridMultilevel"/>
    <w:lvl w:ilvl="0">
      <w:lvlJc w:val="left"/>
      <w:lvlText w:val="(%1)"/>
      <w:numFmt w:val="upperLetter"/>
      <w:start w:val="1"/>
    </w:lvl>
    <w:lvl w:ilvl="1">
      <w:lvlJc w:val="left"/>
      <w:lvlText w:val="-"/>
      <w:numFmt w:val="bullet"/>
      <w:start w:val="1"/>
    </w:lvl>
  </w:abstractNum>
  <w:abstractNum w:abstractNumId="117">
    <w:nsid w:val="597B4D84"/>
    <w:multiLevelType w:val="hybridMultilevel"/>
    <w:lvl w:ilvl="0">
      <w:lvlJc w:val="left"/>
      <w:lvlText w:val="(%1)"/>
      <w:numFmt w:val="upperLetter"/>
      <w:start w:val="1"/>
    </w:lvl>
  </w:abstractNum>
  <w:abstractNum w:abstractNumId="118">
    <w:nsid w:val="F819E7F"/>
    <w:multiLevelType w:val="hybridMultilevel"/>
    <w:lvl w:ilvl="0">
      <w:lvlJc w:val="left"/>
      <w:lvlText w:val="*"/>
      <w:numFmt w:val="bullet"/>
      <w:start w:val="1"/>
    </w:lvl>
  </w:abstractNum>
  <w:abstractNum w:abstractNumId="119">
    <w:nsid w:val="57C7D42D"/>
    <w:multiLevelType w:val="hybridMultilevel"/>
    <w:lvl w:ilvl="0">
      <w:lvlJc w:val="left"/>
      <w:lvlText w:val="%1."/>
      <w:numFmt w:val="decimal"/>
      <w:start w:val="1"/>
    </w:lvl>
  </w:abstractNum>
  <w:abstractNum w:abstractNumId="120">
    <w:nsid w:val="312167AD"/>
    <w:multiLevelType w:val="hybridMultilevel"/>
    <w:lvl w:ilvl="0">
      <w:lvlJc w:val="left"/>
      <w:lvlText w:val="%1."/>
      <w:numFmt w:val="decimal"/>
      <w:start w:val="9"/>
    </w:lvl>
  </w:abstractNum>
  <w:abstractNum w:abstractNumId="121">
    <w:nsid w:val="631B64D4"/>
    <w:multiLevelType w:val="hybridMultilevel"/>
    <w:lvl w:ilvl="0">
      <w:lvlJc w:val="left"/>
      <w:lvlText w:val="☐"/>
      <w:numFmt w:val="bullet"/>
      <w:start w:val="1"/>
    </w:lvl>
  </w:abstractNum>
  <w:abstractNum w:abstractNumId="122">
    <w:nsid w:val="78B5E776"/>
    <w:multiLevelType w:val="hybridMultilevel"/>
    <w:lvl w:ilvl="0">
      <w:lvlJc w:val="left"/>
      <w:lvlText w:val="o"/>
      <w:numFmt w:val="bullet"/>
      <w:start w:val="1"/>
    </w:lvl>
  </w:abstractNum>
  <w:abstractNum w:abstractNumId="123">
    <w:nsid w:val="75486E47"/>
    <w:multiLevelType w:val="hybridMultilevel"/>
    <w:lvl w:ilvl="0">
      <w:lvlJc w:val="left"/>
      <w:lvlText w:val="%1."/>
      <w:numFmt w:val="decimal"/>
      <w:start w:val="1"/>
    </w:lvl>
  </w:abstractNum>
  <w:abstractNum w:abstractNumId="124">
    <w:nsid w:val="6E534CDE"/>
    <w:multiLevelType w:val="hybridMultilevel"/>
    <w:lvl w:ilvl="0">
      <w:lvlJc w:val="left"/>
      <w:lvlText w:val="(%1)"/>
      <w:numFmt w:val="decimal"/>
      <w:start w:val="1"/>
    </w:lvl>
    <w:lvl w:ilvl="1">
      <w:lvlJc w:val="left"/>
      <w:lvlText w:val="(%2)"/>
      <w:numFmt w:val="upperLetter"/>
      <w:start w:val="1"/>
    </w:lvl>
  </w:abstractNum>
  <w:abstractNum w:abstractNumId="125">
    <w:nsid w:val="1A0DDE32"/>
    <w:multiLevelType w:val="hybridMultilevel"/>
    <w:lvl w:ilvl="0">
      <w:lvlJc w:val="left"/>
      <w:lvlText w:val="*"/>
      <w:numFmt w:val="bullet"/>
      <w:start w:val="1"/>
    </w:lvl>
  </w:abstractNum>
  <w:abstractNum w:abstractNumId="126">
    <w:nsid w:val="65968C1C"/>
    <w:multiLevelType w:val="hybridMultilevel"/>
    <w:lvl w:ilvl="0">
      <w:lvlJc w:val="left"/>
      <w:lvlText w:val="%1."/>
      <w:numFmt w:val="decimal"/>
      <w:start w:val="1"/>
    </w:lvl>
  </w:abstractNum>
  <w:abstractNum w:abstractNumId="127">
    <w:nsid w:val="46263DEC"/>
    <w:multiLevelType w:val="hybridMultilevel"/>
    <w:lvl w:ilvl="0">
      <w:lvlJc w:val="left"/>
      <w:lvlText w:val="%1."/>
      <w:numFmt w:val="decimal"/>
      <w:start w:val="3"/>
    </w:lvl>
  </w:abstractNum>
  <w:abstractNum w:abstractNumId="128">
    <w:nsid w:val="260D8C4A"/>
    <w:multiLevelType w:val="hybridMultilevel"/>
    <w:lvl w:ilvl="0">
      <w:lvlJc w:val="left"/>
      <w:lvlText w:val="(%1)"/>
      <w:numFmt w:val="lowerRoman"/>
      <w:start w:val="1"/>
    </w:lvl>
  </w:abstractNum>
  <w:abstractNum w:abstractNumId="129">
    <w:nsid w:val="73D4D3C4"/>
    <w:multiLevelType w:val="hybridMultilevel"/>
    <w:lvl w:ilvl="0">
      <w:lvlJc w:val="left"/>
      <w:lvlText w:val="(%1)"/>
      <w:numFmt w:val="lowerRoman"/>
      <w:start w:val="2"/>
    </w:lvl>
  </w:abstractNum>
  <w:abstractNum w:abstractNumId="130">
    <w:nsid w:val="746F2E30"/>
    <w:multiLevelType w:val="hybridMultilevel"/>
    <w:lvl w:ilvl="0">
      <w:lvlJc w:val="left"/>
      <w:lvlText w:val="%1."/>
      <w:numFmt w:val="decimal"/>
      <w:start w:val="5"/>
    </w:lvl>
    <w:lvl w:ilvl="1">
      <w:lvlJc w:val="left"/>
      <w:lvlText w:val="(%2)"/>
      <w:numFmt w:val="lowerLetter"/>
      <w:start w:val="1"/>
    </w:lvl>
  </w:abstractNum>
  <w:abstractNum w:abstractNumId="131">
    <w:nsid w:val="6FDE8AF6"/>
    <w:multiLevelType w:val="hybridMultilevel"/>
    <w:lvl w:ilvl="0">
      <w:lvlJc w:val="left"/>
      <w:lvlText w:val="%1."/>
      <w:numFmt w:val="decimal"/>
      <w:start w:val="7"/>
    </w:lvl>
    <w:lvl w:ilvl="1">
      <w:lvlJc w:val="left"/>
      <w:lvlText w:val="(%2)"/>
      <w:numFmt w:val="lowerLetter"/>
      <w:start w:val="1"/>
    </w:lvl>
  </w:abstractNum>
  <w:abstractNum w:abstractNumId="132">
    <w:nsid w:val="3FC32E20"/>
    <w:multiLevelType w:val="hybridMultilevel"/>
    <w:lvl w:ilvl="0">
      <w:lvlJc w:val="left"/>
      <w:lvlText w:val="(%1)"/>
      <w:numFmt w:val="lowerLetter"/>
      <w:start w:val="1"/>
    </w:lvl>
  </w:abstractNum>
  <w:abstractNum w:abstractNumId="133">
    <w:nsid w:val="49C0E823"/>
    <w:multiLevelType w:val="hybridMultilevel"/>
    <w:lvl w:ilvl="0">
      <w:lvlJc w:val="left"/>
      <w:lvlText w:val="(%1)"/>
      <w:numFmt w:val="lowerLetter"/>
      <w:start w:val="6"/>
    </w:lvl>
  </w:abstractNum>
  <w:abstractNum w:abstractNumId="134">
    <w:nsid w:val="14D53685"/>
    <w:multiLevelType w:val="hybridMultilevel"/>
    <w:lvl w:ilvl="0">
      <w:lvlJc w:val="left"/>
      <w:lvlText w:val="%1."/>
      <w:numFmt w:val="decimal"/>
      <w:start w:val="9"/>
    </w:lvl>
    <w:lvl w:ilvl="1">
      <w:lvlJc w:val="left"/>
      <w:lvlText w:val="(%2)"/>
      <w:numFmt w:val="lowerLetter"/>
      <w:start w:val="1"/>
    </w:lvl>
  </w:abstractNum>
  <w:abstractNum w:abstractNumId="135">
    <w:nsid w:val="230F856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6">
    <w:nsid w:val="6EAA85FB"/>
    <w:multiLevelType w:val="hybridMultilevel"/>
    <w:lvl w:ilvl="0">
      <w:lvlJc w:val="left"/>
      <w:lvlText w:val="(%1)"/>
      <w:numFmt w:val="lowerRoman"/>
      <w:start w:val="2"/>
    </w:lvl>
  </w:abstractNum>
  <w:abstractNum w:abstractNumId="137">
    <w:nsid w:val="3F06ECB2"/>
    <w:multiLevelType w:val="hybridMultilevel"/>
    <w:lvl w:ilvl="0">
      <w:lvlJc w:val="left"/>
      <w:lvlText w:val="%1"/>
      <w:numFmt w:val="lowerLetter"/>
      <w:start w:val="1"/>
    </w:lvl>
    <w:lvl w:ilvl="1">
      <w:lvlJc w:val="left"/>
      <w:lvlText w:val="(%2)"/>
      <w:numFmt w:val="lowerLetter"/>
      <w:start w:val="61"/>
    </w:lvl>
  </w:abstractNum>
  <w:abstractNum w:abstractNumId="138">
    <w:nsid w:val="3B594807"/>
    <w:multiLevelType w:val="hybridMultilevel"/>
    <w:lvl w:ilvl="0">
      <w:lvlJc w:val="left"/>
      <w:lvlText w:val="(%1)"/>
      <w:numFmt w:val="lowerLetter"/>
      <w:start w:val="6"/>
    </w:lvl>
    <w:lvl w:ilvl="1">
      <w:lvlJc w:val="left"/>
      <w:lvlText w:val="(%2)"/>
      <w:numFmt w:val="lowerLetter"/>
      <w:start w:val="9"/>
    </w:lvl>
  </w:abstractNum>
  <w:abstractNum w:abstractNumId="139">
    <w:nsid w:val="6CAA230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lowerLetter"/>
      <w:start w:val="1"/>
    </w:lvl>
  </w:abstractNum>
  <w:abstractNum w:abstractNumId="140">
    <w:nsid w:val="3F7C2FF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lowerLetter"/>
      <w:start w:val="24"/>
    </w:lvl>
  </w:abstractNum>
  <w:abstractNum w:abstractNumId="141">
    <w:nsid w:val="25413BEC"/>
    <w:multiLevelType w:val="hybridMultilevel"/>
    <w:lvl w:ilvl="0">
      <w:lvlJc w:val="left"/>
      <w:lvlText w:val="%1"/>
      <w:numFmt w:val="lowerRoman"/>
      <w:start w:val="1"/>
    </w:lvl>
    <w:lvl w:ilvl="1">
      <w:lvlJc w:val="left"/>
      <w:lvlText w:val="(%2)"/>
      <w:numFmt w:val="upperLetter"/>
      <w:start w:val="3"/>
    </w:lvl>
  </w:abstractNum>
  <w:abstractNum w:abstractNumId="142">
    <w:nsid w:val="17180B0B"/>
    <w:multiLevelType w:val="hybridMultilevel"/>
    <w:lvl w:ilvl="0">
      <w:lvlJc w:val="left"/>
      <w:lvlText w:val="(%1)"/>
      <w:numFmt w:val="lowerRoman"/>
      <w:start w:val="2"/>
    </w:lvl>
    <w:lvl w:ilvl="1">
      <w:lvlJc w:val="left"/>
      <w:lvlText w:val="%2"/>
      <w:numFmt w:val="upperLetter"/>
      <w:start w:val="1"/>
    </w:lvl>
  </w:abstractNum>
  <w:abstractNum w:abstractNumId="143">
    <w:nsid w:val="579328B9"/>
    <w:multiLevelType w:val="hybridMultilevel"/>
    <w:lvl w:ilvl="0">
      <w:lvlJc w:val="left"/>
      <w:lvlText w:val="(%1)"/>
      <w:numFmt w:val="lowerRoman"/>
      <w:start w:val="4"/>
    </w:lvl>
  </w:abstractNum>
  <w:abstractNum w:abstractNumId="144">
    <w:nsid w:val="5D205E20"/>
    <w:multiLevelType w:val="hybridMultilevel"/>
    <w:lvl w:ilvl="0">
      <w:lvlJc w:val="left"/>
      <w:lvlText w:val="(%1)"/>
      <w:numFmt w:val="lowerLetter"/>
      <w:start w:val="8"/>
    </w:lvl>
    <w:lvl w:ilvl="1">
      <w:lvlJc w:val="left"/>
      <w:lvlText w:val="(%2)"/>
      <w:numFmt w:val="lowerRoman"/>
      <w:start w:val="1"/>
    </w:lvl>
  </w:abstractNum>
  <w:abstractNum w:abstractNumId="145">
    <w:nsid w:val="11CCA8BA"/>
    <w:multiLevelType w:val="hybridMultilevel"/>
    <w:lvl w:ilvl="0">
      <w:lvlJc w:val="left"/>
      <w:lvlText w:val="(%1)"/>
      <w:numFmt w:val="lowerLetter"/>
      <w:start w:val="11"/>
    </w:lvl>
  </w:abstractNum>
  <w:abstractNum w:abstractNumId="146">
    <w:nsid w:val="4D32AB86"/>
    <w:multiLevelType w:val="hybridMultilevel"/>
    <w:lvl w:ilvl="0">
      <w:lvlJc w:val="left"/>
      <w:lvlText w:val="(%1)"/>
      <w:numFmt w:val="lowerLetter"/>
      <w:start w:val="12"/>
    </w:lvl>
  </w:abstractNum>
  <w:abstractNum w:abstractNumId="147">
    <w:nsid w:val="3F07ACC3"/>
    <w:multiLevelType w:val="hybridMultilevel"/>
    <w:lvl w:ilvl="0">
      <w:lvlJc w:val="left"/>
      <w:lvlText w:val="(%1)"/>
      <w:numFmt w:val="lowerLetter"/>
      <w:start w:val="15"/>
    </w:lvl>
    <w:lvl w:ilvl="1">
      <w:lvlJc w:val="left"/>
      <w:lvlText w:val="(%2)"/>
      <w:numFmt w:val="lowerRoman"/>
      <w:start w:val="1"/>
    </w:lvl>
  </w:abstractNum>
  <w:abstractNum w:abstractNumId="148">
    <w:nsid w:val="6B47F63E"/>
    <w:multiLevelType w:val="hybridMultilevel"/>
    <w:lvl w:ilvl="0">
      <w:lvlJc w:val="left"/>
      <w:lvlText w:val="(%1)"/>
      <w:numFmt w:val="lowerLetter"/>
      <w:start w:val="19"/>
    </w:lvl>
    <w:lvl w:ilvl="1">
      <w:lvlJc w:val="left"/>
      <w:lvlText w:val="(%2)"/>
      <w:numFmt w:val="lowerRoman"/>
      <w:start w:val="1"/>
    </w:lvl>
  </w:abstractNum>
  <w:abstractNum w:abstractNumId="149">
    <w:nsid w:val="5CB44A05"/>
    <w:multiLevelType w:val="hybridMultilevel"/>
    <w:lvl w:ilvl="0">
      <w:lvlJc w:val="left"/>
      <w:lvlText w:val="(%1)"/>
      <w:numFmt w:val="lowerLetter"/>
      <w:start w:val="26"/>
    </w:lvl>
  </w:abstractNum>
  <w:abstractNum w:abstractNumId="150">
    <w:nsid w:val="16CF80F1"/>
    <w:multiLevelType w:val="hybridMultilevel"/>
    <w:lvl w:ilvl="0">
      <w:lvlJc w:val="left"/>
      <w:lvlText w:val="(%1)"/>
      <w:numFmt w:val="lowerLetter"/>
      <w:start w:val="27"/>
    </w:lvl>
  </w:abstractNum>
  <w:abstractNum w:abstractNumId="151">
    <w:nsid w:val="1C695DEC"/>
    <w:multiLevelType w:val="hybridMultilevel"/>
    <w:lvl w:ilvl="0">
      <w:lvlJc w:val="left"/>
      <w:lvlText w:val="(%1)"/>
      <w:numFmt w:val="lowerLetter"/>
      <w:start w:val="26"/>
    </w:lvl>
  </w:abstractNum>
  <w:abstractNum w:abstractNumId="152">
    <w:nsid w:val="3FCFAED9"/>
    <w:multiLevelType w:val="hybridMultilevel"/>
    <w:lvl w:ilvl="0">
      <w:lvlJc w:val="left"/>
      <w:lvlText w:val="(%1)"/>
      <w:numFmt w:val="lowerLetter"/>
      <w:start w:val="27"/>
    </w:lvl>
  </w:abstractNum>
  <w:abstractNum w:abstractNumId="153">
    <w:nsid w:val="F856867"/>
    <w:multiLevelType w:val="hybridMultilevel"/>
    <w:lvl w:ilvl="0">
      <w:lvlJc w:val="left"/>
      <w:lvlText w:val="%1."/>
      <w:numFmt w:val="decimal"/>
      <w:start w:val="1"/>
    </w:lvl>
  </w:abstractNum>
  <w:abstractNum w:abstractNumId="154">
    <w:nsid w:val="11B1CC33"/>
    <w:multiLevelType w:val="hybridMultilevel"/>
    <w:lvl w:ilvl="0">
      <w:lvlJc w:val="left"/>
      <w:lvlText w:val="%1."/>
      <w:numFmt w:val="decimal"/>
      <w:start w:val="3"/>
    </w:lvl>
  </w:abstractNum>
  <w:abstractNum w:abstractNumId="155">
    <w:nsid w:val="2E22FBB7"/>
    <w:multiLevelType w:val="hybridMultilevel"/>
    <w:lvl w:ilvl="0">
      <w:lvlJc w:val="left"/>
      <w:lvlText w:val="%1."/>
      <w:numFmt w:val="decimal"/>
      <w:start w:val="5"/>
    </w:lvl>
    <w:lvl w:ilvl="1">
      <w:lvlJc w:val="left"/>
      <w:lvlText w:val="(%2)"/>
      <w:numFmt w:val="lowerLetter"/>
      <w:start w:val="1"/>
    </w:lvl>
  </w:abstractNum>
  <w:abstractNum w:abstractNumId="156">
    <w:nsid w:val="29934699"/>
    <w:multiLevelType w:val="hybridMultilevel"/>
    <w:lvl w:ilvl="0">
      <w:lvlJc w:val="left"/>
      <w:lvlText w:val="%1"/>
      <w:numFmt w:val="decimal"/>
      <w:start w:val="1"/>
    </w:lvl>
    <w:lvl w:ilvl="1">
      <w:lvlJc w:val="left"/>
      <w:lvlText w:val="(%2)"/>
      <w:numFmt w:val="lowerLetter"/>
      <w:start w:val="2"/>
    </w:lvl>
  </w:abstractNum>
  <w:abstractNum w:abstractNumId="157">
    <w:nsid w:val="77485850"/>
    <w:multiLevelType w:val="hybridMultilevel"/>
    <w:lvl w:ilvl="0">
      <w:lvlJc w:val="left"/>
      <w:lvlText w:val="%1."/>
      <w:numFmt w:val="decimal"/>
      <w:start w:val="8"/>
    </w:lvl>
    <w:lvl w:ilvl="1">
      <w:lvlJc w:val="left"/>
      <w:lvlText w:val="(%2)"/>
      <w:numFmt w:val="lowerLetter"/>
      <w:start w:val="1"/>
    </w:lvl>
  </w:abstractNum>
  <w:abstractNum w:abstractNumId="158">
    <w:nsid w:val="744939A3"/>
    <w:multiLevelType w:val="hybridMultilevel"/>
    <w:lvl w:ilvl="0">
      <w:lvlJc w:val="left"/>
      <w:lvlText w:val="%1"/>
      <w:numFmt w:val="decimal"/>
      <w:start w:val="1"/>
    </w:lvl>
    <w:lvl w:ilvl="1">
      <w:lvlJc w:val="left"/>
      <w:lvlText w:val="(%2)"/>
      <w:numFmt w:val="lowerLetter"/>
      <w:start w:val="5"/>
    </w:lvl>
  </w:abstractNum>
  <w:abstractNum w:abstractNumId="159">
    <w:nsid w:val="4FA0D2E3"/>
    <w:multiLevelType w:val="hybridMultilevel"/>
    <w:lvl w:ilvl="0">
      <w:lvlJc w:val="left"/>
      <w:lvlText w:val="%1."/>
      <w:numFmt w:val="decimal"/>
      <w:start w:val="9"/>
    </w:lvl>
    <w:lvl w:ilvl="1">
      <w:lvlJc w:val="left"/>
      <w:lvlText w:val="(%2)"/>
      <w:numFmt w:val="lowerLetter"/>
      <w:start w:val="1"/>
    </w:lvl>
  </w:abstractNum>
  <w:abstractNum w:abstractNumId="160">
    <w:nsid w:val="6B1D2C14"/>
    <w:multiLevelType w:val="hybridMultilevel"/>
    <w:lvl w:ilvl="0">
      <w:lvlJc w:val="left"/>
      <w:lvlText w:val="(%1)"/>
      <w:numFmt w:val="lowerLetter"/>
      <w:start w:val="2"/>
    </w:lvl>
  </w:abstractNum>
  <w:abstractNum w:abstractNumId="161">
    <w:nsid w:val="68B867D3"/>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lvl w:ilvl="3">
      <w:lvlJc w:val="left"/>
      <w:lvlText w:val="(%4)"/>
      <w:numFmt w:val="lowerLetter"/>
      <w:start w:val="24"/>
    </w:lvl>
  </w:abstractNum>
  <w:abstractNum w:abstractNumId="162">
    <w:nsid w:val="3F7F5DD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lvl w:ilvl="3">
      <w:lvlJc w:val="left"/>
      <w:lvlText w:val="(%4)"/>
      <w:numFmt w:val="lowerLetter"/>
      <w:start w:val="24"/>
    </w:lvl>
    <w:lvl w:ilvl="4">
      <w:lvlJc w:val="left"/>
      <w:lvlText w:val="(%5)"/>
      <w:numFmt w:val="decimal"/>
      <w:start w:val="3"/>
    </w:lvl>
  </w:abstractNum>
  <w:abstractNum w:abstractNumId="163">
    <w:nsid w:val="2AE05A34"/>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lvl w:ilvl="3">
      <w:lvlJc w:val="left"/>
      <w:lvlText w:val="%4"/>
      <w:numFmt w:val="lowerLetter"/>
      <w:start w:val="1"/>
    </w:lvl>
    <w:lvl w:ilvl="4">
      <w:lvlJc w:val="left"/>
      <w:lvlText w:val="%5"/>
      <w:numFmt w:val="decimal"/>
      <w:start w:val="1"/>
    </w:lvl>
  </w:abstractNum>
  <w:abstractNum w:abstractNumId="164">
    <w:nsid w:val="32794FF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65">
    <w:nsid w:val="5454945E"/>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66">
    <w:nsid w:val="4DEFDFA0"/>
    <w:multiLevelType w:val="hybridMultilevel"/>
    <w:lvl w:ilvl="0">
      <w:lvlJc w:val="left"/>
      <w:lvlText w:val="(%1)"/>
      <w:numFmt w:val="lowerLetter"/>
      <w:start w:val="10"/>
    </w:lvl>
    <w:lvl w:ilvl="1">
      <w:lvlJc w:val="left"/>
      <w:lvlText w:val="(%2)"/>
      <w:numFmt w:val="lowerRoman"/>
      <w:start w:val="1"/>
    </w:lvl>
    <w:lvl w:ilvl="2">
      <w:lvlJc w:val="left"/>
      <w:lvlText w:val="(%3)"/>
      <w:numFmt w:val="decimal"/>
      <w:start w:val="1"/>
    </w:lvl>
  </w:abstractNum>
  <w:abstractNum w:abstractNumId="167">
    <w:nsid w:val="2123D5F2"/>
    <w:multiLevelType w:val="hybridMultilevel"/>
    <w:lvl w:ilvl="0">
      <w:lvlJc w:val="left"/>
      <w:lvlText w:val="(%1)"/>
      <w:numFmt w:val="lowerRoman"/>
      <w:start w:val="2"/>
    </w:lvl>
  </w:abstractNum>
  <w:abstractNum w:abstractNumId="168">
    <w:nsid w:val="135B8110"/>
    <w:multiLevelType w:val="hybridMultilevel"/>
    <w:lvl w:ilvl="0">
      <w:lvlJc w:val="left"/>
      <w:lvlText w:val="(%1)"/>
      <w:numFmt w:val="lowerLetter"/>
      <w:start w:val="11"/>
    </w:lvl>
    <w:lvl w:ilvl="1">
      <w:lvlJc w:val="left"/>
      <w:lvlText w:val="(%2)"/>
      <w:numFmt w:val="lowerRoman"/>
      <w:start w:val="1"/>
    </w:lvl>
  </w:abstractNum>
  <w:abstractNum w:abstractNumId="169">
    <w:nsid w:val="94927A8"/>
    <w:multiLevelType w:val="hybridMultilevel"/>
    <w:lvl w:ilvl="0">
      <w:lvlJc w:val="left"/>
      <w:lvlText w:val="(%1)"/>
      <w:numFmt w:val="lowerLetter"/>
      <w:start w:val="16"/>
    </w:lvl>
  </w:abstractNum>
  <w:abstractNum w:abstractNumId="170">
    <w:nsid w:val="DCDF8F6"/>
    <w:multiLevelType w:val="hybridMultilevel"/>
    <w:lvl w:ilvl="0">
      <w:lvlJc w:val="left"/>
      <w:lvlText w:val="(%1)"/>
      <w:numFmt w:val="lowerLetter"/>
      <w:start w:val="21"/>
    </w:lvl>
    <w:lvl w:ilvl="1">
      <w:lvlJc w:val="left"/>
      <w:lvlText w:val="(%2)"/>
      <w:numFmt w:val="lowerRoman"/>
      <w:start w:val="1"/>
    </w:lvl>
  </w:abstractNum>
  <w:abstractNum w:abstractNumId="171">
    <w:nsid w:val="52D7B105"/>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2021-06-21T15:33:40Z</dcterms:created>
  <dcterms:modified xsi:type="dcterms:W3CDTF">2021-06-21T15:33:40Z</dcterms:modified>
</cp:coreProperties>
</file>