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primarydocument.xml.htm"/>
      <w:bookmarkStart w:id="1" w:name="ksprimarydocument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Hisel Doug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305 S. HARTMANN DRIVE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LEBANON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TN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37087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CRACKER BARREL OLD COUNTRY STORE,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CBRL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SVP, Store Operations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07/30/2026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89"/>
        <w:gridCol w:w="904"/>
        <w:gridCol w:w="773"/>
        <w:gridCol w:w="600"/>
        <w:gridCol w:w="349"/>
        <w:gridCol w:w="974"/>
        <w:gridCol w:w="456"/>
        <w:gridCol w:w="671"/>
        <w:gridCol w:w="1165"/>
        <w:gridCol w:w="999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8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0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8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07/30/2026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17,519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0.00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21,960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a Restricted Stock Award granted in connection with the reporting person's employment with the company. This Award will vest over three years with two-thirds vesting on 7/30/28 and the remainder vesting on 7/30/29 and will be contingent upon the reporting person's continued employment with the company on the respective vesting dates.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Doug Hisel by Jennifer Lankford,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07/31/2026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90751" TargetMode="External"/><Relationship Id="rId5" Type="http://schemas.openxmlformats.org/officeDocument/2006/relationships/hyperlink" Target="http://www.sec.gov/cgi-bin/browse-edgar?action=getcompany&amp;CIK=0001067294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621</Words>
  <Characters>3396</Characters>
  <CharactersWithSpaces>3949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