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GMT CAPITAL CORP</w:t>
              </w:r>
            </w:hyperlink>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Borders>
              <w:bottom w:val="single" w:sz="8" w:color="0000EE"/>
            </w:tcBorders>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CRACKER BARREL OLD COUNTRY</w:t>
              </w:r>
            </w:hyperlink>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STORE,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CBRL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24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4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 w:type="dxa"/>
            <w:vAlign w:val="bottom"/>
          </w:tcPr>
          <w:p>
            <w:pPr>
              <w:spacing w:after="0"/>
              <w:rPr>
                <w:sz w:val="19"/>
                <w:szCs w:val="1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32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33"/>
        </w:trPr>
        <w:tc>
          <w:tcPr>
            <w:tcW w:w="3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3620" w:type="dxa"/>
            <w:vAlign w:val="bottom"/>
          </w:tcPr>
          <w:p>
            <w:pPr>
              <w:ind w:left="760"/>
              <w:spacing w:after="0" w:line="133" w:lineRule="exact"/>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46"/>
        </w:trPr>
        <w:tc>
          <w:tcPr>
            <w:tcW w:w="3040" w:type="dxa"/>
            <w:vAlign w:val="bottom"/>
            <w:vMerge w:val="continue"/>
          </w:tcPr>
          <w:p>
            <w:pPr>
              <w:spacing w:after="0"/>
              <w:rPr>
                <w:sz w:val="12"/>
                <w:szCs w:val="12"/>
                <w:color w:val="auto"/>
              </w:rPr>
            </w:pPr>
          </w:p>
        </w:tc>
        <w:tc>
          <w:tcPr>
            <w:tcW w:w="3620" w:type="dxa"/>
            <w:vAlign w:val="bottom"/>
            <w:vMerge w:val="restart"/>
          </w:tcPr>
          <w:p>
            <w:pPr>
              <w:ind w:left="760"/>
              <w:spacing w:after="0"/>
              <w:rPr>
                <w:sz w:val="20"/>
                <w:szCs w:val="20"/>
                <w:color w:val="auto"/>
              </w:rPr>
            </w:pPr>
            <w:r>
              <w:rPr>
                <w:rFonts w:ascii="Times New Roman" w:cs="Times New Roman" w:eastAsia="Times New Roman" w:hAnsi="Times New Roman"/>
                <w:sz w:val="17"/>
                <w:szCs w:val="17"/>
                <w:color w:val="0000FF"/>
              </w:rPr>
              <w:t>04/25/2025</w:t>
            </w:r>
          </w:p>
        </w:tc>
        <w:tc>
          <w:tcPr>
            <w:tcW w:w="0" w:type="dxa"/>
            <w:vAlign w:val="bottom"/>
          </w:tcPr>
          <w:p>
            <w:pPr>
              <w:spacing w:after="0"/>
              <w:rPr>
                <w:sz w:val="1"/>
                <w:szCs w:val="1"/>
                <w:color w:val="auto"/>
              </w:rPr>
            </w:pPr>
          </w:p>
        </w:tc>
      </w:tr>
      <w:tr>
        <w:trPr>
          <w:trHeight w:val="80"/>
        </w:trPr>
        <w:tc>
          <w:tcPr>
            <w:tcW w:w="3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3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3040" w:type="dxa"/>
            <w:vAlign w:val="bottom"/>
            <w:vMerge w:val="continue"/>
          </w:tcPr>
          <w:p>
            <w:pPr>
              <w:spacing w:after="0"/>
              <w:rPr>
                <w:sz w:val="16"/>
                <w:szCs w:val="16"/>
                <w:color w:val="auto"/>
              </w:rPr>
            </w:pP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47"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72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ATLANTA</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GA</w:t>
            </w: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gridSpan w:val="3"/>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2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(1)(2)(3)</w:t>
            </w: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04/25/2025</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53,000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43.03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2,621,800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GMT CAPITAL CORP</w:t>
              </w:r>
            </w:hyperlink>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ATLANTA</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30339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BAY RESOURCE PARTNERS LP</w:t>
              </w:r>
            </w:hyperlink>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ATLANTA</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30339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BAY II RESOURCE PARTNERS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5343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5343525"/>
                    </a:xfrm>
                    <a:prstGeom prst="rect">
                      <a:avLst/>
                    </a:prstGeom>
                    <a:noFill/>
                  </pic:spPr>
                </pic:pic>
              </a:graphicData>
            </a:graphic>
          </wp:anchor>
        </w:drawing>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60"/>
              <w:spacing w:after="0"/>
              <w:rPr>
                <w:sz w:val="20"/>
                <w:szCs w:val="20"/>
                <w:color w:val="auto"/>
              </w:rPr>
            </w:pPr>
            <w:r>
              <w:rPr>
                <w:rFonts w:ascii="Arial" w:cs="Arial" w:eastAsia="Arial" w:hAnsi="Arial"/>
                <w:sz w:val="13"/>
                <w:szCs w:val="13"/>
                <w:color w:val="auto"/>
              </w:rPr>
              <w:t>(First)</w:t>
            </w:r>
          </w:p>
        </w:tc>
        <w:tc>
          <w:tcPr>
            <w:tcW w:w="1620" w:type="dxa"/>
            <w:vAlign w:val="bottom"/>
          </w:tcPr>
          <w:p>
            <w:pPr>
              <w:ind w:left="2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6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4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4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30339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2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BAY RESOURCE PARTNERS OFFSHORE</w:t>
        </w:r>
      </w:hyperlink>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MASTER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CLAUGUS THOMAS E</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jointly filed by Bay Resource Partners, L.P. (Bay), a Delaware limited partnership, Bay II Resource Partners, L.P. (Bay II), a Delaware limited partnership, Bay Resource Partners Offshore Master Fund, L.P. (Bay Offshore), an exempted limited partnership organized under the laws of the Cayman Islands, GMT Capital Corp., a Georgia corporation (GMT Capital), and Thomas E. Claugus (Claugus), a United States citizen. The foregoing persons are hereinafter sometimes collectively referred to as the Reporting Persons.</w:t>
      </w:r>
    </w:p>
    <w:p>
      <w:pPr>
        <w:spacing w:after="0" w:line="2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GMT Capital is the general partner of Bay and Bay II and has the power to direct the affairs of Bay and Bay II, including voting and disposition of shares. As the discretionary investment manager of Bay Offshore, GMT Capital has power to direct voting and disposition of shares held by Bay Offshore. Claugus is the President of GMT Capital and in that capacity, directs the operations of each of Bay and Bay II and voting and disposition of shares held by Bay Offshore. GMT Capital and Claugus may be deemed to beneficially own indirect pecuniary interest as the result of performance-based fees and profit allocations. Each of GMT Capital and Claugus disclaims such beneficial ownership except to the extent ultimately realized.</w:t>
      </w:r>
    </w:p>
    <w:p>
      <w:pPr>
        <w:spacing w:after="0" w:line="24" w:lineRule="exact"/>
        <w:rPr>
          <w:rFonts w:ascii="Times New Roman" w:cs="Times New Roman" w:eastAsia="Times New Roman" w:hAnsi="Times New Roman"/>
          <w:sz w:val="13"/>
          <w:szCs w:val="13"/>
          <w:color w:val="008000"/>
        </w:rPr>
      </w:pPr>
    </w:p>
    <w:p>
      <w:pPr>
        <w:jc w:val="both"/>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aggregate number of shares of common stock bought on April 25, 2025, was 53,000 shares, at a price of $43.03 per share, resulting in an aggregate number of shares owned by the Reporting Persons of 2,621,800. Such shares were bought, and thereafter beneficially owned by the Reporting Persons in the following amounts: Bay = 14,900 shares bought resulting in ownership of 739,400 shares; Bay II = 9,700 shares bought resulting in ownership of 480,300 shares; Bay Offshore = 25,400 shares bought resulting in ownership of 1,255,300 shares; Claugus = 3,000 shares bought resulting in ownership of 146,800 shares.</w:t>
      </w:r>
    </w:p>
    <w:p>
      <w:pPr>
        <w:spacing w:after="0" w:line="41"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Omar Z. Idilby</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04/29/2025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13" Type="http://schemas.openxmlformats.org/officeDocument/2006/relationships/hyperlink" Target="http://www.sec.gov/cgi-bin/browse-edgar?action=getcompany&amp;CIK=0001106191" TargetMode="External"/><Relationship Id="rId14" Type="http://schemas.openxmlformats.org/officeDocument/2006/relationships/hyperlink" Target="http://www.sec.gov/cgi-bin/browse-edgar?action=getcompany&amp;CIK=0001067294" TargetMode="External"/><Relationship Id="rId16" Type="http://schemas.openxmlformats.org/officeDocument/2006/relationships/hyperlink" Target="http://www.sec.gov/cgi-bin/browse-edgar?action=getcompany&amp;CIK=0000899037" TargetMode="External"/><Relationship Id="rId18" Type="http://schemas.openxmlformats.org/officeDocument/2006/relationships/hyperlink" Target="http://www.sec.gov/cgi-bin/browse-edgar?action=getcompany&amp;CIK=0001161416" TargetMode="External"/><Relationship Id="rId20" Type="http://schemas.openxmlformats.org/officeDocument/2006/relationships/hyperlink" Target="http://www.sec.gov/cgi-bin/browse-edgar?action=getcompany&amp;CIK=0001733113" TargetMode="External"/><Relationship Id="rId21" Type="http://schemas.openxmlformats.org/officeDocument/2006/relationships/hyperlink" Target="http://www.sec.gov/cgi-bin/browse-edgar?action=getcompany&amp;CIK=0001075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2025-04-29T13:20:21Z</dcterms:created>
  <dcterms:modified xsi:type="dcterms:W3CDTF">2025-04-29T13:20:21Z</dcterms:modified>
</cp:coreProperties>
</file>