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157480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Date of Report (date of earliest event reported): November 19, 2021 (November 18,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166370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CRACKER BARREL OLD COUNTRY STORE,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420"/>
        <w:spacing w:after="0"/>
        <w:rPr>
          <w:sz w:val="20"/>
          <w:szCs w:val="20"/>
          <w:color w:val="auto"/>
        </w:rPr>
      </w:pPr>
      <w:r>
        <w:rPr>
          <w:rFonts w:ascii="Arial" w:cs="Arial" w:eastAsia="Arial" w:hAnsi="Arial"/>
          <w:sz w:val="18"/>
          <w:szCs w:val="18"/>
          <w:b w:val="1"/>
          <w:bCs w:val="1"/>
          <w:color w:val="auto"/>
        </w:rPr>
        <w:t>Tennessee</w:t>
      </w:r>
    </w:p>
    <w:p>
      <w:pPr>
        <w:spacing w:after="0" w:line="27" w:lineRule="exact"/>
        <w:rPr>
          <w:sz w:val="24"/>
          <w:szCs w:val="24"/>
          <w:color w:val="auto"/>
        </w:rPr>
      </w:pPr>
    </w:p>
    <w:p>
      <w:pPr>
        <w:ind w:left="82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1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1300"/>
        <w:spacing w:after="0"/>
        <w:rPr>
          <w:sz w:val="20"/>
          <w:szCs w:val="20"/>
          <w:color w:val="auto"/>
        </w:rPr>
      </w:pPr>
      <w:r>
        <w:rPr>
          <w:rFonts w:ascii="Arial" w:cs="Arial" w:eastAsia="Arial" w:hAnsi="Arial"/>
          <w:sz w:val="18"/>
          <w:szCs w:val="18"/>
          <w:b w:val="1"/>
          <w:bCs w:val="1"/>
          <w:color w:val="auto"/>
        </w:rPr>
        <w:t>001-25225</w:t>
      </w:r>
    </w:p>
    <w:p>
      <w:pPr>
        <w:spacing w:after="0" w:line="27" w:lineRule="exact"/>
        <w:rPr>
          <w:sz w:val="24"/>
          <w:szCs w:val="24"/>
          <w:color w:val="auto"/>
        </w:rPr>
      </w:pPr>
    </w:p>
    <w:p>
      <w:pPr>
        <w:jc w:val="center"/>
        <w:ind w:right="13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62-0812904</w:t>
      </w:r>
    </w:p>
    <w:p>
      <w:pPr>
        <w:spacing w:after="0" w:line="27" w:lineRule="exact"/>
        <w:rPr>
          <w:sz w:val="24"/>
          <w:szCs w:val="24"/>
          <w:color w:val="auto"/>
        </w:rPr>
      </w:pPr>
    </w:p>
    <w:p>
      <w:pPr>
        <w:ind w:left="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100" w:space="720"/>
            <w:col w:w="3280" w:space="720"/>
            <w:col w:w="2420"/>
          </w:cols>
          <w:pgMar w:left="320" w:top="729" w:right="339" w:bottom="1440" w:gutter="0" w:footer="0" w:header="0"/>
          <w:type w:val="continuous"/>
        </w:sectPr>
      </w:pPr>
    </w:p>
    <w:p>
      <w:pPr>
        <w:spacing w:after="0" w:line="7" w:lineRule="exact"/>
        <w:rPr>
          <w:sz w:val="24"/>
          <w:szCs w:val="24"/>
          <w:color w:val="auto"/>
        </w:rPr>
      </w:pPr>
    </w:p>
    <w:p>
      <w:pPr>
        <w:ind w:left="3760"/>
        <w:spacing w:after="0"/>
        <w:rPr>
          <w:sz w:val="20"/>
          <w:szCs w:val="20"/>
          <w:color w:val="auto"/>
        </w:rPr>
      </w:pPr>
      <w:r>
        <w:rPr>
          <w:rFonts w:ascii="Arial" w:cs="Arial" w:eastAsia="Arial" w:hAnsi="Arial"/>
          <w:sz w:val="18"/>
          <w:szCs w:val="18"/>
          <w:b w:val="1"/>
          <w:bCs w:val="1"/>
          <w:color w:val="auto"/>
        </w:rPr>
        <w:t>305 Hartmann Drive, Lebanon, Tennessee 37087</w:t>
      </w:r>
    </w:p>
    <w:p>
      <w:pPr>
        <w:spacing w:after="0" w:line="27"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(615) 444-5533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157480</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type w:val="continuous"/>
        </w:sectPr>
      </w:pPr>
    </w:p>
    <w:p>
      <w:pPr>
        <w:spacing w:after="0" w:line="200" w:lineRule="exact"/>
        <w:rPr>
          <w:sz w:val="24"/>
          <w:szCs w:val="24"/>
          <w:color w:val="auto"/>
        </w:rPr>
      </w:pPr>
    </w:p>
    <w:p>
      <w:pPr>
        <w:spacing w:after="0" w:line="29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00" w:hanging="447"/>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900" w:hanging="447"/>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900" w:hanging="447"/>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300" w:firstLine="453"/>
        <w:spacing w:after="0" w:line="500" w:lineRule="auto"/>
        <w:tabs>
          <w:tab w:leader="none" w:pos="89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8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380" w:type="dxa"/>
            <w:vAlign w:val="bottom"/>
          </w:tcPr>
          <w:p>
            <w:pPr>
              <w:jc w:val="center"/>
              <w:ind w:left="850"/>
              <w:spacing w:after="0"/>
              <w:rPr>
                <w:sz w:val="20"/>
                <w:szCs w:val="20"/>
                <w:color w:val="auto"/>
              </w:rPr>
            </w:pPr>
            <w:r>
              <w:rPr>
                <w:rFonts w:ascii="Arial" w:cs="Arial" w:eastAsia="Arial" w:hAnsi="Arial"/>
                <w:sz w:val="18"/>
                <w:szCs w:val="18"/>
                <w:color w:val="auto"/>
                <w:w w:val="89"/>
              </w:rPr>
              <w:t>Name of each exchange on which</w:t>
            </w:r>
          </w:p>
        </w:tc>
      </w:tr>
      <w:tr>
        <w:trPr>
          <w:trHeight w:val="216"/>
        </w:trPr>
        <w:tc>
          <w:tcPr>
            <w:tcW w:w="4160" w:type="dxa"/>
            <w:vAlign w:val="bottom"/>
          </w:tcPr>
          <w:p>
            <w:pPr>
              <w:jc w:val="center"/>
              <w:ind w:right="610"/>
              <w:spacing w:after="0"/>
              <w:rPr>
                <w:sz w:val="20"/>
                <w:szCs w:val="20"/>
                <w:color w:val="auto"/>
              </w:rPr>
            </w:pPr>
            <w:r>
              <w:rPr>
                <w:rFonts w:ascii="Arial" w:cs="Arial" w:eastAsia="Arial" w:hAnsi="Arial"/>
                <w:sz w:val="18"/>
                <w:szCs w:val="18"/>
                <w:color w:val="auto"/>
                <w:w w:val="90"/>
              </w:rPr>
              <w:t>Title of each class</w:t>
            </w:r>
          </w:p>
        </w:tc>
        <w:tc>
          <w:tcPr>
            <w:tcW w:w="3020" w:type="dxa"/>
            <w:vAlign w:val="bottom"/>
          </w:tcPr>
          <w:p>
            <w:pPr>
              <w:jc w:val="center"/>
              <w:ind w:right="130"/>
              <w:spacing w:after="0"/>
              <w:rPr>
                <w:sz w:val="20"/>
                <w:szCs w:val="20"/>
                <w:color w:val="auto"/>
              </w:rPr>
            </w:pPr>
            <w:r>
              <w:rPr>
                <w:rFonts w:ascii="Arial" w:cs="Arial" w:eastAsia="Arial" w:hAnsi="Arial"/>
                <w:sz w:val="18"/>
                <w:szCs w:val="18"/>
                <w:color w:val="auto"/>
                <w:w w:val="92"/>
              </w:rPr>
              <w:t>Trading Symbol(s)</w:t>
            </w:r>
          </w:p>
        </w:tc>
        <w:tc>
          <w:tcPr>
            <w:tcW w:w="3380" w:type="dxa"/>
            <w:vAlign w:val="bottom"/>
          </w:tcPr>
          <w:p>
            <w:pPr>
              <w:ind w:left="1840"/>
              <w:spacing w:after="0"/>
              <w:rPr>
                <w:sz w:val="20"/>
                <w:szCs w:val="20"/>
                <w:color w:val="auto"/>
              </w:rPr>
            </w:pPr>
            <w:r>
              <w:rPr>
                <w:rFonts w:ascii="Arial" w:cs="Arial" w:eastAsia="Arial" w:hAnsi="Arial"/>
                <w:sz w:val="18"/>
                <w:szCs w:val="18"/>
                <w:color w:val="auto"/>
              </w:rPr>
              <w:t>registered</w:t>
            </w:r>
          </w:p>
        </w:tc>
      </w:tr>
      <w:tr>
        <w:trPr>
          <w:trHeight w:val="216"/>
        </w:trPr>
        <w:tc>
          <w:tcPr>
            <w:tcW w:w="4160" w:type="dxa"/>
            <w:vAlign w:val="bottom"/>
          </w:tcPr>
          <w:p>
            <w:pPr>
              <w:jc w:val="center"/>
              <w:ind w:right="610"/>
              <w:spacing w:after="0"/>
              <w:rPr>
                <w:sz w:val="20"/>
                <w:szCs w:val="20"/>
                <w:color w:val="auto"/>
              </w:rPr>
            </w:pPr>
            <w:r>
              <w:rPr>
                <w:rFonts w:ascii="Arial" w:cs="Arial" w:eastAsia="Arial" w:hAnsi="Arial"/>
                <w:sz w:val="18"/>
                <w:szCs w:val="18"/>
                <w:color w:val="auto"/>
                <w:w w:val="89"/>
              </w:rPr>
              <w:t>Common Stock (Par Value $0.01)</w:t>
            </w:r>
          </w:p>
        </w:tc>
        <w:tc>
          <w:tcPr>
            <w:tcW w:w="3020" w:type="dxa"/>
            <w:vAlign w:val="bottom"/>
          </w:tcPr>
          <w:p>
            <w:pPr>
              <w:jc w:val="center"/>
              <w:ind w:right="130"/>
              <w:spacing w:after="0"/>
              <w:rPr>
                <w:sz w:val="20"/>
                <w:szCs w:val="20"/>
                <w:color w:val="auto"/>
              </w:rPr>
            </w:pPr>
            <w:r>
              <w:rPr>
                <w:rFonts w:ascii="Arial" w:cs="Arial" w:eastAsia="Arial" w:hAnsi="Arial"/>
                <w:sz w:val="18"/>
                <w:szCs w:val="18"/>
                <w:color w:val="auto"/>
                <w:w w:val="99"/>
              </w:rPr>
              <w:t>CBRL</w:t>
            </w:r>
          </w:p>
        </w:tc>
        <w:tc>
          <w:tcPr>
            <w:tcW w:w="3380" w:type="dxa"/>
            <w:vAlign w:val="bottom"/>
          </w:tcPr>
          <w:p>
            <w:pPr>
              <w:jc w:val="center"/>
              <w:ind w:left="910"/>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4160" w:type="dxa"/>
            <w:vAlign w:val="bottom"/>
          </w:tcPr>
          <w:p>
            <w:pPr>
              <w:jc w:val="center"/>
              <w:ind w:right="610"/>
              <w:spacing w:after="0"/>
              <w:rPr>
                <w:sz w:val="20"/>
                <w:szCs w:val="20"/>
                <w:color w:val="auto"/>
              </w:rPr>
            </w:pPr>
            <w:r>
              <w:rPr>
                <w:rFonts w:ascii="Arial" w:cs="Arial" w:eastAsia="Arial" w:hAnsi="Arial"/>
                <w:sz w:val="18"/>
                <w:szCs w:val="18"/>
                <w:color w:val="auto"/>
                <w:w w:val="90"/>
              </w:rPr>
              <w:t>Rights to Purchase Series A Junior Participating</w:t>
            </w:r>
          </w:p>
        </w:tc>
        <w:tc>
          <w:tcPr>
            <w:tcW w:w="3020" w:type="dxa"/>
            <w:vAlign w:val="bottom"/>
          </w:tcPr>
          <w:p>
            <w:pPr>
              <w:spacing w:after="0"/>
              <w:rPr>
                <w:sz w:val="18"/>
                <w:szCs w:val="18"/>
                <w:color w:val="auto"/>
              </w:rPr>
            </w:pPr>
          </w:p>
        </w:tc>
        <w:tc>
          <w:tcPr>
            <w:tcW w:w="3380" w:type="dxa"/>
            <w:vAlign w:val="bottom"/>
          </w:tcPr>
          <w:p>
            <w:pPr>
              <w:jc w:val="center"/>
              <w:ind w:left="890"/>
              <w:spacing w:after="0"/>
              <w:rPr>
                <w:sz w:val="20"/>
                <w:szCs w:val="20"/>
                <w:color w:val="auto"/>
              </w:rPr>
            </w:pPr>
            <w:r>
              <w:rPr>
                <w:rFonts w:ascii="Arial" w:cs="Arial" w:eastAsia="Arial" w:hAnsi="Arial"/>
                <w:sz w:val="18"/>
                <w:szCs w:val="18"/>
                <w:color w:val="auto"/>
                <w:w w:val="91"/>
              </w:rPr>
              <w:t>(Nasdaq Global Select Market)</w:t>
            </w:r>
          </w:p>
        </w:tc>
      </w:tr>
      <w:tr>
        <w:trPr>
          <w:trHeight w:val="230"/>
        </w:trPr>
        <w:tc>
          <w:tcPr>
            <w:tcW w:w="4160" w:type="dxa"/>
            <w:vAlign w:val="bottom"/>
          </w:tcPr>
          <w:p>
            <w:pPr>
              <w:jc w:val="center"/>
              <w:ind w:right="610"/>
              <w:spacing w:after="0"/>
              <w:rPr>
                <w:sz w:val="20"/>
                <w:szCs w:val="20"/>
                <w:color w:val="auto"/>
              </w:rPr>
            </w:pPr>
            <w:r>
              <w:rPr>
                <w:rFonts w:ascii="Arial" w:cs="Arial" w:eastAsia="Arial" w:hAnsi="Arial"/>
                <w:sz w:val="18"/>
                <w:szCs w:val="18"/>
                <w:color w:val="auto"/>
                <w:w w:val="89"/>
              </w:rPr>
              <w:t>Preferred Stock (Par Value $0.01)</w:t>
            </w:r>
          </w:p>
        </w:tc>
        <w:tc>
          <w:tcPr>
            <w:tcW w:w="3020" w:type="dxa"/>
            <w:vAlign w:val="bottom"/>
          </w:tcPr>
          <w:p>
            <w:pPr>
              <w:spacing w:after="0"/>
              <w:rPr>
                <w:sz w:val="20"/>
                <w:szCs w:val="20"/>
                <w:color w:val="auto"/>
              </w:rPr>
            </w:pPr>
          </w:p>
        </w:tc>
        <w:tc>
          <w:tcPr>
            <w:tcW w:w="3380" w:type="dxa"/>
            <w:vAlign w:val="bottom"/>
          </w:tcPr>
          <w:p>
            <w:pPr>
              <w:spacing w:after="0"/>
              <w:rPr>
                <w:sz w:val="20"/>
                <w:szCs w:val="20"/>
                <w:color w:val="auto"/>
              </w:rPr>
            </w:pPr>
          </w:p>
        </w:tc>
      </w:tr>
    </w:tbl>
    <w:p>
      <w:pPr>
        <w:spacing w:after="0" w:line="20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2021 annual meeting of shareholders (the “Annual Meeting”) was held on November 18, 2021 at the Company’s headquarters in Lebanon, Tennessee. On November 18, 2021, Broadridge Financial Services, Inc., the inspector of election for the Annual Meeting (“Broadridge”), delivered its certification of final voting results for the Annual Meeting to the Company. The final voting results reflect that a total of 20,702,766 shares of the Company’s common stock, out of a total of 23,511,862 shares of common stock outstanding and entitled to vote as of September 17, 2021, the record date, were present in person or represented by proxies at the Annual Meeting, and that the results for each proposal presented to the shareholders at the Annual Meeting are as set forth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Management Proposals:</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860" w:type="dxa"/>
            <w:vAlign w:val="bottom"/>
            <w:gridSpan w:val="2"/>
          </w:tcPr>
          <w:p>
            <w:pPr>
              <w:spacing w:after="0"/>
              <w:rPr>
                <w:sz w:val="20"/>
                <w:szCs w:val="20"/>
                <w:color w:val="auto"/>
              </w:rPr>
            </w:pPr>
            <w:r>
              <w:rPr>
                <w:rFonts w:ascii="Arial" w:cs="Arial" w:eastAsia="Arial" w:hAnsi="Arial"/>
                <w:sz w:val="18"/>
                <w:szCs w:val="18"/>
                <w:color w:val="auto"/>
              </w:rPr>
              <w:t>1. Election to the Board of the following ten director nominees:</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11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180" w:type="dxa"/>
            <w:vAlign w:val="bottom"/>
            <w:gridSpan w:val="2"/>
          </w:tcPr>
          <w:p>
            <w:pPr>
              <w:ind w:left="360"/>
              <w:spacing w:after="0"/>
              <w:rPr>
                <w:sz w:val="20"/>
                <w:szCs w:val="20"/>
                <w:color w:val="auto"/>
              </w:rPr>
            </w:pPr>
            <w:r>
              <w:rPr>
                <w:rFonts w:ascii="Arial" w:cs="Arial" w:eastAsia="Arial" w:hAnsi="Arial"/>
                <w:sz w:val="18"/>
                <w:szCs w:val="18"/>
                <w:b w:val="1"/>
                <w:bCs w:val="1"/>
                <w:color w:val="auto"/>
              </w:rPr>
              <w:t>For</w:t>
            </w:r>
          </w:p>
        </w:tc>
        <w:tc>
          <w:tcPr>
            <w:tcW w:w="1060" w:type="dxa"/>
            <w:vAlign w:val="bottom"/>
            <w:gridSpan w:val="2"/>
          </w:tcPr>
          <w:p>
            <w:pPr>
              <w:ind w:left="120"/>
              <w:spacing w:after="0"/>
              <w:rPr>
                <w:sz w:val="20"/>
                <w:szCs w:val="20"/>
                <w:color w:val="auto"/>
              </w:rPr>
            </w:pPr>
            <w:r>
              <w:rPr>
                <w:rFonts w:ascii="Arial" w:cs="Arial" w:eastAsia="Arial" w:hAnsi="Arial"/>
                <w:sz w:val="18"/>
                <w:szCs w:val="18"/>
                <w:b w:val="1"/>
                <w:bCs w:val="1"/>
                <w:color w:val="auto"/>
              </w:rPr>
              <w:t>Withheld</w:t>
            </w:r>
          </w:p>
        </w:tc>
      </w:tr>
      <w:tr>
        <w:trPr>
          <w:trHeight w:val="209"/>
        </w:trPr>
        <w:tc>
          <w:tcPr>
            <w:tcW w:w="112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Thomas H. Barr</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15,337,161</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2,161,811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Carl T. Berquist</w:t>
            </w:r>
          </w:p>
        </w:tc>
        <w:tc>
          <w:tcPr>
            <w:tcW w:w="1000" w:type="dxa"/>
            <w:vAlign w:val="bottom"/>
          </w:tcPr>
          <w:p>
            <w:pPr>
              <w:jc w:val="right"/>
              <w:spacing w:after="0"/>
              <w:rPr>
                <w:sz w:val="20"/>
                <w:szCs w:val="20"/>
                <w:color w:val="auto"/>
              </w:rPr>
            </w:pPr>
            <w:r>
              <w:rPr>
                <w:rFonts w:ascii="Arial" w:cs="Arial" w:eastAsia="Arial" w:hAnsi="Arial"/>
                <w:sz w:val="18"/>
                <w:szCs w:val="18"/>
                <w:color w:val="auto"/>
              </w:rPr>
              <w:t>15,336,638</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2,162,334</w:t>
            </w:r>
          </w:p>
        </w:tc>
        <w:tc>
          <w:tcPr>
            <w:tcW w:w="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Sandra B. Cochran</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15,249,396</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2,249,576</w:t>
            </w:r>
          </w:p>
        </w:tc>
        <w:tc>
          <w:tcPr>
            <w:tcW w:w="8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Meg G. Crofton</w:t>
            </w:r>
          </w:p>
        </w:tc>
        <w:tc>
          <w:tcPr>
            <w:tcW w:w="1000" w:type="dxa"/>
            <w:vAlign w:val="bottom"/>
          </w:tcPr>
          <w:p>
            <w:pPr>
              <w:jc w:val="right"/>
              <w:spacing w:after="0"/>
              <w:rPr>
                <w:sz w:val="20"/>
                <w:szCs w:val="20"/>
                <w:color w:val="auto"/>
              </w:rPr>
            </w:pPr>
            <w:r>
              <w:rPr>
                <w:rFonts w:ascii="Arial" w:cs="Arial" w:eastAsia="Arial" w:hAnsi="Arial"/>
                <w:sz w:val="18"/>
                <w:szCs w:val="18"/>
                <w:color w:val="auto"/>
              </w:rPr>
              <w:t>15,342,584</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2,156,388</w:t>
            </w:r>
          </w:p>
        </w:tc>
        <w:tc>
          <w:tcPr>
            <w:tcW w:w="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Gilbert R. Dávila</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15,331,306</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2,167,666</w:t>
            </w:r>
          </w:p>
        </w:tc>
        <w:tc>
          <w:tcPr>
            <w:tcW w:w="8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William W. McCarten</w:t>
            </w:r>
          </w:p>
        </w:tc>
        <w:tc>
          <w:tcPr>
            <w:tcW w:w="1000" w:type="dxa"/>
            <w:vAlign w:val="bottom"/>
          </w:tcPr>
          <w:p>
            <w:pPr>
              <w:jc w:val="right"/>
              <w:spacing w:after="0"/>
              <w:rPr>
                <w:sz w:val="20"/>
                <w:szCs w:val="20"/>
                <w:color w:val="auto"/>
              </w:rPr>
            </w:pPr>
            <w:r>
              <w:rPr>
                <w:rFonts w:ascii="Arial" w:cs="Arial" w:eastAsia="Arial" w:hAnsi="Arial"/>
                <w:sz w:val="18"/>
                <w:szCs w:val="18"/>
                <w:color w:val="auto"/>
              </w:rPr>
              <w:t>15,193,515</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2,305,457</w:t>
            </w:r>
          </w:p>
        </w:tc>
        <w:tc>
          <w:tcPr>
            <w:tcW w:w="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Coleman H. Peterson</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15,205,617</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2,293,355</w:t>
            </w:r>
          </w:p>
        </w:tc>
        <w:tc>
          <w:tcPr>
            <w:tcW w:w="80" w:type="dxa"/>
            <w:vAlign w:val="bottom"/>
            <w:shd w:val="clear" w:color="auto" w:fill="CCEEFF"/>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Gisel Ruiz</w:t>
            </w:r>
          </w:p>
        </w:tc>
        <w:tc>
          <w:tcPr>
            <w:tcW w:w="1000" w:type="dxa"/>
            <w:vAlign w:val="bottom"/>
          </w:tcPr>
          <w:p>
            <w:pPr>
              <w:jc w:val="right"/>
              <w:spacing w:after="0"/>
              <w:rPr>
                <w:sz w:val="20"/>
                <w:szCs w:val="20"/>
                <w:color w:val="auto"/>
              </w:rPr>
            </w:pPr>
            <w:r>
              <w:rPr>
                <w:rFonts w:ascii="Arial" w:cs="Arial" w:eastAsia="Arial" w:hAnsi="Arial"/>
                <w:sz w:val="18"/>
                <w:szCs w:val="18"/>
                <w:color w:val="auto"/>
              </w:rPr>
              <w:t>15,331,736</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2,167,236</w:t>
            </w:r>
          </w:p>
        </w:tc>
        <w:tc>
          <w:tcPr>
            <w:tcW w:w="8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Darryl L. Wade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17,381,721</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117,251</w:t>
            </w:r>
          </w:p>
        </w:tc>
        <w:tc>
          <w:tcPr>
            <w:tcW w:w="80" w:type="dxa"/>
            <w:vAlign w:val="bottom"/>
            <w:shd w:val="clear" w:color="auto" w:fill="CCEEFF"/>
          </w:tcPr>
          <w:p>
            <w:pPr>
              <w:spacing w:after="0"/>
              <w:rPr>
                <w:sz w:val="18"/>
                <w:szCs w:val="18"/>
                <w:color w:val="auto"/>
              </w:rPr>
            </w:pPr>
          </w:p>
        </w:tc>
      </w:tr>
      <w:tr>
        <w:trPr>
          <w:trHeight w:val="230"/>
        </w:trPr>
        <w:tc>
          <w:tcPr>
            <w:tcW w:w="112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Andrea M. Weiss</w:t>
            </w:r>
          </w:p>
        </w:tc>
        <w:tc>
          <w:tcPr>
            <w:tcW w:w="1000" w:type="dxa"/>
            <w:vAlign w:val="bottom"/>
          </w:tcPr>
          <w:p>
            <w:pPr>
              <w:jc w:val="right"/>
              <w:spacing w:after="0"/>
              <w:rPr>
                <w:sz w:val="20"/>
                <w:szCs w:val="20"/>
                <w:color w:val="auto"/>
              </w:rPr>
            </w:pPr>
            <w:r>
              <w:rPr>
                <w:rFonts w:ascii="Arial" w:cs="Arial" w:eastAsia="Arial" w:hAnsi="Arial"/>
                <w:sz w:val="18"/>
                <w:szCs w:val="18"/>
                <w:color w:val="auto"/>
              </w:rPr>
              <w:t>14,728,273</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2,770,699</w:t>
            </w:r>
          </w:p>
        </w:tc>
        <w:tc>
          <w:tcPr>
            <w:tcW w:w="80" w:type="dxa"/>
            <w:vAlign w:val="bottom"/>
          </w:tcPr>
          <w:p>
            <w:pPr>
              <w:spacing w:after="0"/>
              <w:rPr>
                <w:sz w:val="20"/>
                <w:szCs w:val="20"/>
                <w:color w:val="auto"/>
              </w:rPr>
            </w:pPr>
          </w:p>
        </w:tc>
      </w:tr>
    </w:tbl>
    <w:p>
      <w:pPr>
        <w:spacing w:after="0" w:line="187" w:lineRule="exact"/>
        <w:rPr>
          <w:sz w:val="20"/>
          <w:szCs w:val="20"/>
          <w:color w:val="auto"/>
        </w:rPr>
      </w:pPr>
    </w:p>
    <w:p>
      <w:pPr>
        <w:jc w:val="both"/>
        <w:ind w:left="1300" w:hanging="320"/>
        <w:spacing w:after="0" w:line="263"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proxy solicitor, Okapi Partners LLC (“Okapi”), has informed the Company that Okapi determined that certain entities affiliated with Sardar Biglari (collectively, “Biglari”) withheld approximately 2 million votes for Messrs. Barr, Berquist, Dávila, McCarten, Peterson, and, Mses. Cochran, Crofton, Ruiz and Weiss.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ten directors were elected at the Annual Meeting: Thomas H. Barr, Carl T. Berquist, Sandra B. Cochran, Meg G. Crofton, Gilbert R. Dávila, William W. McCarten, Coleman H. Peterson, Gisel Ruiz, Darryl L. Wade, and Andrea M. Weiss. In addition, Broadridge has advised the Company that there were 3,203,794 broker non-votes on proposal 1.</w:t>
      </w:r>
    </w:p>
    <w:p>
      <w:pPr>
        <w:spacing w:after="0" w:line="184" w:lineRule="exact"/>
        <w:rPr>
          <w:sz w:val="20"/>
          <w:szCs w:val="20"/>
          <w:color w:val="auto"/>
        </w:rPr>
      </w:pPr>
    </w:p>
    <w:p>
      <w:pPr>
        <w:ind w:right="20" w:firstLine="8"/>
        <w:spacing w:after="0" w:line="277" w:lineRule="auto"/>
        <w:tabs>
          <w:tab w:leader="none" w:pos="192"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Approval, on an advisory basis, of the compensation of the Company’s named executive officers as disclosed in the Company’s 2021 proxy statement (“say-on-pay”):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2940" w:type="dxa"/>
            <w:vAlign w:val="bottom"/>
            <w:gridSpan w:val="2"/>
          </w:tcPr>
          <w:p>
            <w:pPr>
              <w:ind w:left="1240"/>
              <w:spacing w:after="0"/>
              <w:rPr>
                <w:sz w:val="20"/>
                <w:szCs w:val="20"/>
                <w:color w:val="auto"/>
              </w:rPr>
            </w:pPr>
            <w:r>
              <w:rPr>
                <w:rFonts w:ascii="Arial" w:cs="Arial" w:eastAsia="Arial" w:hAnsi="Arial"/>
                <w:sz w:val="18"/>
                <w:szCs w:val="18"/>
                <w:b w:val="1"/>
                <w:bCs w:val="1"/>
                <w:color w:val="auto"/>
              </w:rPr>
              <w:t>For</w:t>
            </w:r>
          </w:p>
        </w:tc>
        <w:tc>
          <w:tcPr>
            <w:tcW w:w="2880" w:type="dxa"/>
            <w:vAlign w:val="bottom"/>
            <w:gridSpan w:val="2"/>
          </w:tcPr>
          <w:p>
            <w:pPr>
              <w:ind w:left="1060"/>
              <w:spacing w:after="0"/>
              <w:rPr>
                <w:sz w:val="20"/>
                <w:szCs w:val="20"/>
                <w:color w:val="auto"/>
              </w:rPr>
            </w:pPr>
            <w:r>
              <w:rPr>
                <w:rFonts w:ascii="Arial" w:cs="Arial" w:eastAsia="Arial" w:hAnsi="Arial"/>
                <w:sz w:val="18"/>
                <w:szCs w:val="18"/>
                <w:b w:val="1"/>
                <w:bCs w:val="1"/>
                <w:color w:val="auto"/>
              </w:rPr>
              <w:t>Against</w:t>
            </w:r>
          </w:p>
        </w:tc>
        <w:tc>
          <w:tcPr>
            <w:tcW w:w="2720" w:type="dxa"/>
            <w:vAlign w:val="bottom"/>
            <w:gridSpan w:val="2"/>
          </w:tcPr>
          <w:p>
            <w:pPr>
              <w:ind w:left="860"/>
              <w:spacing w:after="0"/>
              <w:rPr>
                <w:sz w:val="20"/>
                <w:szCs w:val="20"/>
                <w:color w:val="auto"/>
              </w:rPr>
            </w:pPr>
            <w:r>
              <w:rPr>
                <w:rFonts w:ascii="Arial" w:cs="Arial" w:eastAsia="Arial" w:hAnsi="Arial"/>
                <w:sz w:val="18"/>
                <w:szCs w:val="18"/>
                <w:b w:val="1"/>
                <w:bCs w:val="1"/>
                <w:color w:val="auto"/>
              </w:rPr>
              <w:t>Abstentions</w:t>
            </w:r>
          </w:p>
        </w:tc>
        <w:tc>
          <w:tcPr>
            <w:tcW w:w="1400" w:type="dxa"/>
            <w:vAlign w:val="bottom"/>
          </w:tcPr>
          <w:p>
            <w:pPr>
              <w:spacing w:after="0"/>
              <w:rPr>
                <w:sz w:val="20"/>
                <w:szCs w:val="20"/>
                <w:color w:val="auto"/>
              </w:rPr>
            </w:pPr>
          </w:p>
        </w:tc>
      </w:tr>
      <w:tr>
        <w:trPr>
          <w:trHeight w:val="210"/>
        </w:trPr>
        <w:tc>
          <w:tcPr>
            <w:tcW w:w="1300" w:type="dxa"/>
            <w:vAlign w:val="bottom"/>
          </w:tcPr>
          <w:p>
            <w:pPr>
              <w:spacing w:after="0"/>
              <w:rPr>
                <w:sz w:val="18"/>
                <w:szCs w:val="18"/>
                <w:color w:val="auto"/>
              </w:rPr>
            </w:pPr>
          </w:p>
        </w:tc>
        <w:tc>
          <w:tcPr>
            <w:tcW w:w="2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14,872,110</w:t>
            </w:r>
          </w:p>
        </w:tc>
        <w:tc>
          <w:tcPr>
            <w:tcW w:w="20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2,521,499</w:t>
            </w:r>
          </w:p>
        </w:tc>
        <w:tc>
          <w:tcPr>
            <w:tcW w:w="16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105,363</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Pr>
          <w:p>
            <w:pPr>
              <w:spacing w:after="0"/>
              <w:rPr>
                <w:sz w:val="18"/>
                <w:szCs w:val="18"/>
                <w:color w:val="auto"/>
              </w:rPr>
            </w:pPr>
          </w:p>
        </w:tc>
      </w:tr>
      <w:tr>
        <w:trPr>
          <w:trHeight w:val="675"/>
        </w:trPr>
        <w:tc>
          <w:tcPr>
            <w:tcW w:w="13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ind w:right="700" w:firstLine="980"/>
        <w:spacing w:after="0" w:line="500" w:lineRule="auto"/>
        <w:tabs>
          <w:tab w:leader="none" w:pos="1296" w:val="left"/>
        </w:tabs>
        <w:numPr>
          <w:ilvl w:val="1"/>
          <w:numId w:val="4"/>
        </w:numPr>
        <w:rPr>
          <w:rFonts w:ascii="Arial" w:cs="Arial" w:eastAsia="Arial" w:hAnsi="Arial"/>
          <w:sz w:val="18"/>
          <w:szCs w:val="18"/>
          <w:color w:val="auto"/>
        </w:rPr>
      </w:pPr>
      <w:r>
        <w:rPr>
          <w:rFonts w:ascii="Arial" w:cs="Arial" w:eastAsia="Arial" w:hAnsi="Arial"/>
          <w:sz w:val="18"/>
          <w:szCs w:val="18"/>
          <w:color w:val="auto"/>
        </w:rPr>
        <w:t>Okapi has informed the Company that Okapi determined that Biglari voted approximately 2 million shares against this proposal. Broadridge has advised the Company that there were 3,203,794 broker non-votes on proposal 2.</w:t>
      </w:r>
    </w:p>
    <w:p>
      <w:pPr>
        <w:spacing w:after="0" w:line="1"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Approval of the Company’s shareholder rights plan:</w:t>
      </w:r>
    </w:p>
    <w:p>
      <w:pPr>
        <w:spacing w:after="0" w:line="235"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2860" w:type="dxa"/>
            <w:vAlign w:val="bottom"/>
            <w:gridSpan w:val="2"/>
          </w:tcPr>
          <w:p>
            <w:pPr>
              <w:ind w:left="1200"/>
              <w:spacing w:after="0"/>
              <w:rPr>
                <w:sz w:val="20"/>
                <w:szCs w:val="20"/>
                <w:color w:val="auto"/>
              </w:rPr>
            </w:pPr>
            <w:r>
              <w:rPr>
                <w:rFonts w:ascii="Arial" w:cs="Arial" w:eastAsia="Arial" w:hAnsi="Arial"/>
                <w:sz w:val="18"/>
                <w:szCs w:val="18"/>
                <w:b w:val="1"/>
                <w:bCs w:val="1"/>
                <w:color w:val="auto"/>
              </w:rPr>
              <w:t>For</w:t>
            </w:r>
          </w:p>
        </w:tc>
        <w:tc>
          <w:tcPr>
            <w:tcW w:w="2800" w:type="dxa"/>
            <w:vAlign w:val="bottom"/>
            <w:gridSpan w:val="2"/>
          </w:tcPr>
          <w:p>
            <w:pPr>
              <w:ind w:left="1020"/>
              <w:spacing w:after="0"/>
              <w:rPr>
                <w:sz w:val="20"/>
                <w:szCs w:val="20"/>
                <w:color w:val="auto"/>
              </w:rPr>
            </w:pPr>
            <w:r>
              <w:rPr>
                <w:rFonts w:ascii="Arial" w:cs="Arial" w:eastAsia="Arial" w:hAnsi="Arial"/>
                <w:sz w:val="18"/>
                <w:szCs w:val="18"/>
                <w:b w:val="1"/>
                <w:bCs w:val="1"/>
                <w:color w:val="auto"/>
              </w:rPr>
              <w:t>Against</w:t>
            </w:r>
          </w:p>
        </w:tc>
        <w:tc>
          <w:tcPr>
            <w:tcW w:w="2640" w:type="dxa"/>
            <w:vAlign w:val="bottom"/>
            <w:gridSpan w:val="2"/>
          </w:tcPr>
          <w:p>
            <w:pPr>
              <w:ind w:left="820"/>
              <w:spacing w:after="0"/>
              <w:rPr>
                <w:sz w:val="20"/>
                <w:szCs w:val="20"/>
                <w:color w:val="auto"/>
              </w:rPr>
            </w:pPr>
            <w:r>
              <w:rPr>
                <w:rFonts w:ascii="Arial" w:cs="Arial" w:eastAsia="Arial" w:hAnsi="Arial"/>
                <w:sz w:val="18"/>
                <w:szCs w:val="18"/>
                <w:b w:val="1"/>
                <w:bCs w:val="1"/>
                <w:color w:val="auto"/>
              </w:rPr>
              <w:t>Abstentions</w:t>
            </w:r>
          </w:p>
        </w:tc>
      </w:tr>
      <w:tr>
        <w:trPr>
          <w:trHeight w:val="210"/>
        </w:trPr>
        <w:tc>
          <w:tcPr>
            <w:tcW w:w="2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12,957,661</w:t>
            </w:r>
          </w:p>
        </w:tc>
        <w:tc>
          <w:tcPr>
            <w:tcW w:w="18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4,498,241</w:t>
            </w:r>
          </w:p>
        </w:tc>
        <w:tc>
          <w:tcPr>
            <w:tcW w:w="16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43,070</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700" w:firstLine="980"/>
        <w:spacing w:after="0" w:line="500" w:lineRule="auto"/>
        <w:tabs>
          <w:tab w:leader="none" w:pos="1296" w:val="left"/>
        </w:tabs>
        <w:numPr>
          <w:ilvl w:val="1"/>
          <w:numId w:val="5"/>
        </w:numPr>
        <w:rPr>
          <w:rFonts w:ascii="Arial" w:cs="Arial" w:eastAsia="Arial" w:hAnsi="Arial"/>
          <w:sz w:val="18"/>
          <w:szCs w:val="18"/>
          <w:color w:val="auto"/>
        </w:rPr>
      </w:pPr>
      <w:r>
        <w:rPr>
          <w:rFonts w:ascii="Arial" w:cs="Arial" w:eastAsia="Arial" w:hAnsi="Arial"/>
          <w:sz w:val="18"/>
          <w:szCs w:val="18"/>
          <w:color w:val="auto"/>
        </w:rPr>
        <w:t>Okapi has informed the Company that Okapi determined that Biglari voted approximately 2 million shares against this proposal. Broadridge has advised the Company that there were 3,203,794 broker non-votes on proposal 3.</w:t>
      </w:r>
    </w:p>
    <w:p>
      <w:pPr>
        <w:spacing w:after="0" w:line="1" w:lineRule="exact"/>
        <w:rPr>
          <w:rFonts w:ascii="Arial" w:cs="Arial" w:eastAsia="Arial" w:hAnsi="Arial"/>
          <w:sz w:val="18"/>
          <w:szCs w:val="18"/>
          <w:color w:val="auto"/>
        </w:rPr>
      </w:pPr>
    </w:p>
    <w:p>
      <w:pPr>
        <w:ind w:firstLine="8"/>
        <w:spacing w:after="0" w:line="277" w:lineRule="auto"/>
        <w:tabs>
          <w:tab w:leader="none" w:pos="198"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Ratification of the appointment of Deloitte &amp; Touche LLP as the Company’s independent registered public accounting firm for the Company’s 2022 fiscal year:</w:t>
      </w:r>
    </w:p>
    <w:p>
      <w:pPr>
        <w:spacing w:after="0" w:line="180"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2860" w:type="dxa"/>
            <w:vAlign w:val="bottom"/>
            <w:gridSpan w:val="2"/>
          </w:tcPr>
          <w:p>
            <w:pPr>
              <w:ind w:left="1200"/>
              <w:spacing w:after="0"/>
              <w:rPr>
                <w:sz w:val="20"/>
                <w:szCs w:val="20"/>
                <w:color w:val="auto"/>
              </w:rPr>
            </w:pPr>
            <w:r>
              <w:rPr>
                <w:rFonts w:ascii="Arial" w:cs="Arial" w:eastAsia="Arial" w:hAnsi="Arial"/>
                <w:sz w:val="18"/>
                <w:szCs w:val="18"/>
                <w:b w:val="1"/>
                <w:bCs w:val="1"/>
                <w:color w:val="auto"/>
              </w:rPr>
              <w:t>For</w:t>
            </w:r>
          </w:p>
        </w:tc>
        <w:tc>
          <w:tcPr>
            <w:tcW w:w="2800" w:type="dxa"/>
            <w:vAlign w:val="bottom"/>
            <w:gridSpan w:val="2"/>
          </w:tcPr>
          <w:p>
            <w:pPr>
              <w:ind w:left="1020"/>
              <w:spacing w:after="0"/>
              <w:rPr>
                <w:sz w:val="20"/>
                <w:szCs w:val="20"/>
                <w:color w:val="auto"/>
              </w:rPr>
            </w:pPr>
            <w:r>
              <w:rPr>
                <w:rFonts w:ascii="Arial" w:cs="Arial" w:eastAsia="Arial" w:hAnsi="Arial"/>
                <w:sz w:val="18"/>
                <w:szCs w:val="18"/>
                <w:b w:val="1"/>
                <w:bCs w:val="1"/>
                <w:color w:val="auto"/>
              </w:rPr>
              <w:t>Against</w:t>
            </w:r>
          </w:p>
        </w:tc>
        <w:tc>
          <w:tcPr>
            <w:tcW w:w="2640" w:type="dxa"/>
            <w:vAlign w:val="bottom"/>
            <w:gridSpan w:val="2"/>
          </w:tcPr>
          <w:p>
            <w:pPr>
              <w:ind w:left="820"/>
              <w:spacing w:after="0"/>
              <w:rPr>
                <w:sz w:val="20"/>
                <w:szCs w:val="20"/>
                <w:color w:val="auto"/>
              </w:rPr>
            </w:pPr>
            <w:r>
              <w:rPr>
                <w:rFonts w:ascii="Arial" w:cs="Arial" w:eastAsia="Arial" w:hAnsi="Arial"/>
                <w:sz w:val="18"/>
                <w:szCs w:val="18"/>
                <w:b w:val="1"/>
                <w:bCs w:val="1"/>
                <w:color w:val="auto"/>
              </w:rPr>
              <w:t>Abstentions</w:t>
            </w:r>
          </w:p>
        </w:tc>
      </w:tr>
      <w:tr>
        <w:trPr>
          <w:trHeight w:val="209"/>
        </w:trPr>
        <w:tc>
          <w:tcPr>
            <w:tcW w:w="2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19,822,240</w:t>
            </w:r>
          </w:p>
        </w:tc>
        <w:tc>
          <w:tcPr>
            <w:tcW w:w="18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843,850</w:t>
            </w:r>
          </w:p>
        </w:tc>
        <w:tc>
          <w:tcPr>
            <w:tcW w:w="16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36,676</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Broadridge has advised the Company that there were zero broker non-votes on proposal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Proposal:</w:t>
      </w:r>
    </w:p>
    <w:p>
      <w:pPr>
        <w:spacing w:after="0" w:line="225" w:lineRule="exact"/>
        <w:rPr>
          <w:sz w:val="20"/>
          <w:szCs w:val="20"/>
          <w:color w:val="auto"/>
        </w:rPr>
      </w:pPr>
    </w:p>
    <w:p>
      <w:pPr>
        <w:ind w:right="340" w:firstLine="8"/>
        <w:spacing w:after="0" w:line="277"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Approval of the proposal requesting that the Company adopt a policy that all shareholder meetings be held, either in whole or in part, through virtual means:</w:t>
      </w:r>
    </w:p>
    <w:p>
      <w:pPr>
        <w:spacing w:after="0" w:line="180"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2860" w:type="dxa"/>
            <w:vAlign w:val="bottom"/>
            <w:gridSpan w:val="2"/>
          </w:tcPr>
          <w:p>
            <w:pPr>
              <w:ind w:left="1200"/>
              <w:spacing w:after="0"/>
              <w:rPr>
                <w:sz w:val="20"/>
                <w:szCs w:val="20"/>
                <w:color w:val="auto"/>
              </w:rPr>
            </w:pPr>
            <w:r>
              <w:rPr>
                <w:rFonts w:ascii="Arial" w:cs="Arial" w:eastAsia="Arial" w:hAnsi="Arial"/>
                <w:sz w:val="18"/>
                <w:szCs w:val="18"/>
                <w:b w:val="1"/>
                <w:bCs w:val="1"/>
                <w:color w:val="auto"/>
              </w:rPr>
              <w:t>For</w:t>
            </w:r>
          </w:p>
        </w:tc>
        <w:tc>
          <w:tcPr>
            <w:tcW w:w="2800" w:type="dxa"/>
            <w:vAlign w:val="bottom"/>
            <w:gridSpan w:val="2"/>
          </w:tcPr>
          <w:p>
            <w:pPr>
              <w:ind w:left="1020"/>
              <w:spacing w:after="0"/>
              <w:rPr>
                <w:sz w:val="20"/>
                <w:szCs w:val="20"/>
                <w:color w:val="auto"/>
              </w:rPr>
            </w:pPr>
            <w:r>
              <w:rPr>
                <w:rFonts w:ascii="Arial" w:cs="Arial" w:eastAsia="Arial" w:hAnsi="Arial"/>
                <w:sz w:val="18"/>
                <w:szCs w:val="18"/>
                <w:b w:val="1"/>
                <w:bCs w:val="1"/>
                <w:color w:val="auto"/>
              </w:rPr>
              <w:t>Against</w:t>
            </w:r>
          </w:p>
        </w:tc>
        <w:tc>
          <w:tcPr>
            <w:tcW w:w="2640" w:type="dxa"/>
            <w:vAlign w:val="bottom"/>
            <w:gridSpan w:val="2"/>
          </w:tcPr>
          <w:p>
            <w:pPr>
              <w:ind w:left="820"/>
              <w:spacing w:after="0"/>
              <w:rPr>
                <w:sz w:val="20"/>
                <w:szCs w:val="20"/>
                <w:color w:val="auto"/>
              </w:rPr>
            </w:pPr>
            <w:r>
              <w:rPr>
                <w:rFonts w:ascii="Arial" w:cs="Arial" w:eastAsia="Arial" w:hAnsi="Arial"/>
                <w:sz w:val="18"/>
                <w:szCs w:val="18"/>
                <w:b w:val="1"/>
                <w:bCs w:val="1"/>
                <w:color w:val="auto"/>
              </w:rPr>
              <w:t>Abstentions</w:t>
            </w:r>
          </w:p>
        </w:tc>
      </w:tr>
      <w:tr>
        <w:trPr>
          <w:trHeight w:val="209"/>
        </w:trPr>
        <w:tc>
          <w:tcPr>
            <w:tcW w:w="2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10,074,099</w:t>
            </w:r>
          </w:p>
        </w:tc>
        <w:tc>
          <w:tcPr>
            <w:tcW w:w="18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7,308,907</w:t>
            </w:r>
          </w:p>
        </w:tc>
        <w:tc>
          <w:tcPr>
            <w:tcW w:w="16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115,966</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Broadridge has advised the Company that there were 3,203,794 broker non-votes on 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19, 2021</w:t>
            </w:r>
          </w:p>
        </w:tc>
        <w:tc>
          <w:tcPr>
            <w:tcW w:w="7480" w:type="dxa"/>
            <w:vAlign w:val="bottom"/>
            <w:gridSpan w:val="2"/>
          </w:tcPr>
          <w:p>
            <w:pPr>
              <w:ind w:left="1880"/>
              <w:spacing w:after="0"/>
              <w:rPr>
                <w:sz w:val="20"/>
                <w:szCs w:val="20"/>
                <w:color w:val="auto"/>
              </w:rPr>
            </w:pPr>
            <w:r>
              <w:rPr>
                <w:rFonts w:ascii="Arial" w:cs="Arial" w:eastAsia="Arial" w:hAnsi="Arial"/>
                <w:sz w:val="18"/>
                <w:szCs w:val="18"/>
                <w:color w:val="auto"/>
              </w:rPr>
              <w:t>CRACKER BARREL OLD COUNTRY STORE, INC.</w:t>
            </w:r>
          </w:p>
        </w:tc>
      </w:tr>
      <w:tr>
        <w:trPr>
          <w:trHeight w:val="648"/>
        </w:trPr>
        <w:tc>
          <w:tcPr>
            <w:tcW w:w="3760" w:type="dxa"/>
            <w:vAlign w:val="bottom"/>
          </w:tcPr>
          <w:p>
            <w:pPr>
              <w:spacing w:after="0"/>
              <w:rPr>
                <w:sz w:val="24"/>
                <w:szCs w:val="24"/>
                <w:color w:val="auto"/>
              </w:rPr>
            </w:pPr>
          </w:p>
        </w:tc>
        <w:tc>
          <w:tcPr>
            <w:tcW w:w="2440" w:type="dxa"/>
            <w:vAlign w:val="bottom"/>
          </w:tcPr>
          <w:p>
            <w:pPr>
              <w:ind w:left="188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 Wolfson</w:t>
            </w:r>
          </w:p>
        </w:tc>
      </w:tr>
      <w:tr>
        <w:trPr>
          <w:trHeight w:val="195"/>
        </w:trPr>
        <w:tc>
          <w:tcPr>
            <w:tcW w:w="3760" w:type="dxa"/>
            <w:vAlign w:val="bottom"/>
          </w:tcPr>
          <w:p>
            <w:pPr>
              <w:spacing w:after="0"/>
              <w:rPr>
                <w:sz w:val="16"/>
                <w:szCs w:val="16"/>
                <w:color w:val="auto"/>
              </w:rPr>
            </w:pPr>
          </w:p>
        </w:tc>
        <w:tc>
          <w:tcPr>
            <w:tcW w:w="2440" w:type="dxa"/>
            <w:vAlign w:val="bottom"/>
          </w:tcPr>
          <w:p>
            <w:pPr>
              <w:ind w:left="188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Richard M. Wolfson</w:t>
            </w:r>
          </w:p>
        </w:tc>
      </w:tr>
      <w:tr>
        <w:trPr>
          <w:trHeight w:val="230"/>
        </w:trPr>
        <w:tc>
          <w:tcPr>
            <w:tcW w:w="3760" w:type="dxa"/>
            <w:vAlign w:val="bottom"/>
          </w:tcPr>
          <w:p>
            <w:pPr>
              <w:spacing w:after="0"/>
              <w:rPr>
                <w:sz w:val="20"/>
                <w:szCs w:val="20"/>
                <w:color w:val="auto"/>
              </w:rPr>
            </w:pPr>
          </w:p>
        </w:tc>
        <w:tc>
          <w:tcPr>
            <w:tcW w:w="2440" w:type="dxa"/>
            <w:vAlign w:val="bottom"/>
          </w:tcPr>
          <w:p>
            <w:pPr>
              <w:ind w:left="188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w w:val="96"/>
              </w:rPr>
              <w:t>Senior Vice President, General Counsel and Corporate Secretary</w:t>
            </w:r>
          </w:p>
        </w:tc>
      </w:tr>
      <w:tr>
        <w:trPr>
          <w:trHeight w:val="675"/>
        </w:trPr>
        <w:tc>
          <w:tcPr>
            <w:tcW w:w="37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decimal"/>
      <w:start w:val="2"/>
    </w:lvl>
    <w:lvl w:ilvl="1">
      <w:lvlJc w:val="left"/>
      <w:lvlText w:val="*"/>
      <w:numFmt w:val="bullet"/>
      <w:start w:val="1"/>
    </w:lvl>
  </w:abstractNum>
  <w:abstractNum w:abstractNumId="4">
    <w:nsid w:val="3D1B58BA"/>
    <w:multiLevelType w:val="hybridMultilevel"/>
    <w:lvl w:ilvl="0">
      <w:lvlJc w:val="left"/>
      <w:lvlText w:val="%1."/>
      <w:numFmt w:val="decimal"/>
      <w:start w:val="3"/>
    </w:lvl>
    <w:lvl w:ilvl="1">
      <w:lvlJc w:val="left"/>
      <w:lvlText w:val="*"/>
      <w:numFmt w:val="bullet"/>
      <w:start w:val="1"/>
    </w:lvl>
  </w:abstractNum>
  <w:abstractNum w:abstractNumId="5">
    <w:nsid w:val="507ED7A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2021-11-19T07:02:50Z</dcterms:created>
  <dcterms:modified xsi:type="dcterms:W3CDTF">2021-11-19T07:02:50Z</dcterms:modified>
</cp:coreProperties>
</file>