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GMT CAPITAL CORP</w:t>
              </w:r>
            </w:hyperlink>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Borders>
              <w:bottom w:val="single" w:sz="8" w:color="0000EE"/>
            </w:tcBorders>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CRACKER BARREL OLD COUNTRY</w:t>
              </w:r>
            </w:hyperlink>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STORE,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CBRL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24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4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 w:type="dxa"/>
            <w:vAlign w:val="bottom"/>
          </w:tcPr>
          <w:p>
            <w:pPr>
              <w:spacing w:after="0"/>
              <w:rPr>
                <w:sz w:val="19"/>
                <w:szCs w:val="1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232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33"/>
        </w:trPr>
        <w:tc>
          <w:tcPr>
            <w:tcW w:w="3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3620" w:type="dxa"/>
            <w:vAlign w:val="bottom"/>
          </w:tcPr>
          <w:p>
            <w:pPr>
              <w:ind w:left="760"/>
              <w:spacing w:after="0" w:line="133" w:lineRule="exact"/>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46"/>
        </w:trPr>
        <w:tc>
          <w:tcPr>
            <w:tcW w:w="3040" w:type="dxa"/>
            <w:vAlign w:val="bottom"/>
            <w:vMerge w:val="continue"/>
          </w:tcPr>
          <w:p>
            <w:pPr>
              <w:spacing w:after="0"/>
              <w:rPr>
                <w:sz w:val="12"/>
                <w:szCs w:val="12"/>
                <w:color w:val="auto"/>
              </w:rPr>
            </w:pPr>
          </w:p>
        </w:tc>
        <w:tc>
          <w:tcPr>
            <w:tcW w:w="3620" w:type="dxa"/>
            <w:vAlign w:val="bottom"/>
            <w:vMerge w:val="restart"/>
          </w:tcPr>
          <w:p>
            <w:pPr>
              <w:ind w:left="760"/>
              <w:spacing w:after="0"/>
              <w:rPr>
                <w:sz w:val="20"/>
                <w:szCs w:val="20"/>
                <w:color w:val="auto"/>
              </w:rPr>
            </w:pPr>
            <w:r>
              <w:rPr>
                <w:rFonts w:ascii="Times New Roman" w:cs="Times New Roman" w:eastAsia="Times New Roman" w:hAnsi="Times New Roman"/>
                <w:sz w:val="17"/>
                <w:szCs w:val="17"/>
                <w:color w:val="0000FF"/>
              </w:rPr>
              <w:t>12/19/2025</w:t>
            </w:r>
          </w:p>
        </w:tc>
        <w:tc>
          <w:tcPr>
            <w:tcW w:w="0" w:type="dxa"/>
            <w:vAlign w:val="bottom"/>
          </w:tcPr>
          <w:p>
            <w:pPr>
              <w:spacing w:after="0"/>
              <w:rPr>
                <w:sz w:val="1"/>
                <w:szCs w:val="1"/>
                <w:color w:val="auto"/>
              </w:rPr>
            </w:pPr>
          </w:p>
        </w:tc>
      </w:tr>
      <w:tr>
        <w:trPr>
          <w:trHeight w:val="80"/>
        </w:trPr>
        <w:tc>
          <w:tcPr>
            <w:tcW w:w="3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3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3040" w:type="dxa"/>
            <w:vAlign w:val="bottom"/>
            <w:vMerge w:val="continue"/>
          </w:tcPr>
          <w:p>
            <w:pPr>
              <w:spacing w:after="0"/>
              <w:rPr>
                <w:sz w:val="16"/>
                <w:szCs w:val="16"/>
                <w:color w:val="auto"/>
              </w:rPr>
            </w:pP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47"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54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72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ATLANTA</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GA</w:t>
            </w: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gridSpan w:val="3"/>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2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(1)(2)(3)</w:t>
            </w: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12/19/2025</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42,400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26.37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2,325,000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GMT CAPITAL CORP</w:t>
              </w:r>
            </w:hyperlink>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ATLANTA</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30339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BAY RESOURCE PARTNERS LP</w:t>
              </w:r>
            </w:hyperlink>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ATLANTA</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30339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BAY II RESOURCE PARTNERS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5343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5343525"/>
                    </a:xfrm>
                    <a:prstGeom prst="rect">
                      <a:avLst/>
                    </a:prstGeom>
                    <a:noFill/>
                  </pic:spPr>
                </pic:pic>
              </a:graphicData>
            </a:graphic>
          </wp:anchor>
        </w:drawing>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260"/>
              <w:spacing w:after="0"/>
              <w:rPr>
                <w:sz w:val="20"/>
                <w:szCs w:val="20"/>
                <w:color w:val="auto"/>
              </w:rPr>
            </w:pPr>
            <w:r>
              <w:rPr>
                <w:rFonts w:ascii="Arial" w:cs="Arial" w:eastAsia="Arial" w:hAnsi="Arial"/>
                <w:sz w:val="13"/>
                <w:szCs w:val="13"/>
                <w:color w:val="auto"/>
              </w:rPr>
              <w:t>(First)</w:t>
            </w:r>
          </w:p>
        </w:tc>
        <w:tc>
          <w:tcPr>
            <w:tcW w:w="1620" w:type="dxa"/>
            <w:vAlign w:val="bottom"/>
          </w:tcPr>
          <w:p>
            <w:pPr>
              <w:ind w:left="2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16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14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40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30339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2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BAY RESOURCE PARTNERS OFFSHORE</w:t>
        </w:r>
      </w:hyperlink>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MASTER FUND,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CLAUGUS THOMAS E</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jointly filed by Bay Resource Partners, L.P. (Bay), a Delaware limited partnership, Bay II Resource Partners, L.P. (Bay II), a Delaware limited partnership, Bay Resource Partners Offshore Master Fund, L.P. (Bay Offshore), an exempted limited partnership organized under the laws of the Cayman Islands, GMT Capital Corp., a Georgia corporation (GMT Capital), and Thomas E. Claugus (Claugus), a United States citizen. The foregoing persons are hereinafter sometimes collectively referred to as the Reporting Persons.</w:t>
      </w:r>
    </w:p>
    <w:p>
      <w:pPr>
        <w:spacing w:after="0" w:line="2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GMT Capital is the general partner of Bay and Bay II and has the power to direct the affairs of Bay and Bay II, including voting and disposition of shares. As the discretionary investment manager of Bay Offshore, GMT Capital has power to direct voting and disposition of shares held by Bay Offshore. Claugus is the President of GMT Capital and in that capacity, directs the operations of each of Bay and Bay II and voting and disposition of shares held by Bay Offshore. GMT Capital and Claugus may be deemed to beneficially own indirect pecuniary interest as the result of performance-based fees and profit allocations. Each of GMT Capital and Claugus disclaims such beneficial ownership except to the extent ultimately realized.</w:t>
      </w:r>
    </w:p>
    <w:p>
      <w:pPr>
        <w:spacing w:after="0" w:line="24" w:lineRule="exact"/>
        <w:rPr>
          <w:rFonts w:ascii="Times New Roman" w:cs="Times New Roman" w:eastAsia="Times New Roman" w:hAnsi="Times New Roman"/>
          <w:sz w:val="13"/>
          <w:szCs w:val="13"/>
          <w:color w:val="008000"/>
        </w:rPr>
      </w:pPr>
    </w:p>
    <w:p>
      <w:pPr>
        <w:ind w:left="2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aggregate number of shares of common stock sold on December 19, 2025, was 42,400 shares, at a price of $26.37 per share, resulting in an aggregate number of shares owned by the Reporting Persons of 2,325,000. Such shares were sold, and thereafter beneficially owned by the Reporting Persons in the following amounts: Bay = 12,000 shares sold resulting in ownership of 656,100 shares; Bay II = 7,700 shares sold resulting in ownership of 425,700 shares; Bay Offshore = 20,300 shares sold resulting in ownership of 1,113,200 shares; Claugus = 2,400 shares sold resulting in ownership of 130,000 shares.</w:t>
      </w:r>
    </w:p>
    <w:p>
      <w:pPr>
        <w:spacing w:after="0" w:line="193"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Omar Z. Idilby</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12/23/2025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13" Type="http://schemas.openxmlformats.org/officeDocument/2006/relationships/hyperlink" Target="http://www.sec.gov/cgi-bin/browse-edgar?action=getcompany&amp;CIK=0001106191" TargetMode="External"/><Relationship Id="rId14" Type="http://schemas.openxmlformats.org/officeDocument/2006/relationships/hyperlink" Target="http://www.sec.gov/cgi-bin/browse-edgar?action=getcompany&amp;CIK=0001067294" TargetMode="External"/><Relationship Id="rId16" Type="http://schemas.openxmlformats.org/officeDocument/2006/relationships/hyperlink" Target="http://www.sec.gov/cgi-bin/browse-edgar?action=getcompany&amp;CIK=0000899037" TargetMode="External"/><Relationship Id="rId18" Type="http://schemas.openxmlformats.org/officeDocument/2006/relationships/hyperlink" Target="http://www.sec.gov/cgi-bin/browse-edgar?action=getcompany&amp;CIK=0001161416" TargetMode="External"/><Relationship Id="rId20" Type="http://schemas.openxmlformats.org/officeDocument/2006/relationships/hyperlink" Target="http://www.sec.gov/cgi-bin/browse-edgar?action=getcompany&amp;CIK=0001733113" TargetMode="External"/><Relationship Id="rId21" Type="http://schemas.openxmlformats.org/officeDocument/2006/relationships/hyperlink" Target="http://www.sec.gov/cgi-bin/browse-edgar?action=getcompany&amp;CIK=0001075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2025-12-23T10:55:01Z</dcterms:created>
  <dcterms:modified xsi:type="dcterms:W3CDTF">2025-12-23T10:55:01Z</dcterms:modified>
</cp:coreProperties>
</file>