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primarydocument.xml.htm"/>
      <w:bookmarkStart w:id="1" w:name="ksprimarydocument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Masino Julie D.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305 HARTMANN DR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LEBANON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TN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37087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CRACKER BARREL OLD COUNTRY STORE,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CBRL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CEO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08/07/2026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34"/>
        <w:gridCol w:w="905"/>
        <w:gridCol w:w="774"/>
        <w:gridCol w:w="601"/>
        <w:gridCol w:w="351"/>
        <w:gridCol w:w="812"/>
        <w:gridCol w:w="461"/>
        <w:gridCol w:w="759"/>
        <w:gridCol w:w="1174"/>
        <w:gridCol w:w="1006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3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3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3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3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08/07/2026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688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57.79</w:t>
            </w:r>
          </w:p>
        </w:tc>
        <w:tc>
          <w:tcPr>
            <w:tcW w:w="11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81,971</w:t>
            </w:r>
          </w:p>
        </w:tc>
        <w:tc>
          <w:tcPr>
            <w:tcW w:w="10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shares deducted to satisfy federal tax withholding obligations on the vesting of a previously disclosed awards.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Julie D. Masino by Jennifer Lankford,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08/10/2026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80224" TargetMode="External"/><Relationship Id="rId5" Type="http://schemas.openxmlformats.org/officeDocument/2006/relationships/hyperlink" Target="http://www.sec.gov/cgi-bin/browse-edgar?action=getcompany&amp;CIK=0001067294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585</Words>
  <Characters>3192</Characters>
  <CharactersWithSpaces>3709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