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Crawford Chad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S. HARTMANN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Culinary &amp; Menu Strategy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Chad Crawford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crawfordpoa.txt"/>
      <w:bookmarkStart w:id="3" w:name="kscrawfordpoa"/>
      <w:bookmarkEnd w:id="2"/>
      <w:bookmarkEnd w:id="3"/>
      <w:r>
        <w:rPr/>
        <w:t>LIMITED POWER OF ATTORNEY FOR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AND RULE 144 REPORTING OBLIGATIONS and SEC COMMUNICATIONS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undersigned's hereby makes,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Noel Tippett, Jennifer Lankford,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Heidi Quandt, and Dana Reavis, acting singly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of substitution and delegation, as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attorney-in-fact, with full power and authority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hereinafter described on behalf of and in the name, place and stead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prepare, execute, acknowledge, deliver and file Forms 3, 4,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5 (including any amendments thereto) with respect to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CRACKER BARREL OLD COUNTRY STORE, INC., a Tennessee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Commission, any national securities exchanges and the Company,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considered necessary or advisable under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and the rules and regulations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promulgated thereunder, as amended from time to time (the "Exchange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Act");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prepare, execute, acknowledge, deliver and file Form 144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amendments thereto) with respect to the securities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with the United States Securities and Exchange Commission,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national securities exchanges and the Company, as considered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advisable under Rule 144 of the Securities Act of 1933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rules and regulations promulgated thereunder, as amended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 to time (the "Securities Act");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seek or obtain, as the undersigned's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behalf, information on transactions in the Company's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from any third party, including brokers, employee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plan administrators and trustees, and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authorizes any such person to release any such information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attorneys-in-fact and approves and ratifies any such release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seek, obtain and/or amend, as the undersigned's representative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the undersigned's behalf, any passwords, codes or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identifying information (including, but not limited to, CCC and CIK</w:t>
      </w:r>
    </w:p>
    <w:p>
      <w:pPr>
        <w:pStyle w:val="PreformattedText"/>
        <w:bidi w:val="0"/>
        <w:spacing w:before="0" w:after="0"/>
        <w:jc w:val="left"/>
        <w:rPr/>
      </w:pPr>
      <w:r>
        <w:rPr/>
        <w:t>codes and related passwords) used or required by the United States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or any national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exchanges in order that the named attorneys-in-fact may deliver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documents, including Forms 3, 4, 5 and 144 therewith,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hereby authorizes any such person to release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to the named attorneys-in-fact;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(5)     perform any and all other acts and execute any documents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 of the undersigned which in the discretion of such attorney-in-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 are necessary or desirable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connection with any of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this Power of Attorney authorizes, but does not require,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 act in their discretion on information provided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such attorney-in-fact without independent verification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any documents prepared and/or executed by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behalf of the undersigned pursuant to this Power of Attorney will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in such form and will contain such information and disclosure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attorney-in-fact, in his or her discretion, deems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neither the Company nor such attorney-in-fact assumes (i)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for the undersigned's responsibility to comply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requirement of the Exchange Act or the Securities Act, (ii)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any failure to comply with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requirements, or (iii) any obligation or liability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profit disgorgement under 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 undersigned's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Exchange Act or the Securities Act, including without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limitation the reporting requirements under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and Rule 144 of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gives and grants each of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full power and authority to do and perform all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every act and thing whatsoever requisite, necessary or appropriate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done in and about the foregoing matters as fully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 as the undersigned might or could do if present,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ratifying all that either such attorney-in-fact of, for an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undersigned, shall lawfully do or cause to be done by virtue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this Limited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powers of attorney previously granted by the undersigned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of the subject matters covered by this Power of Attorney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revoked.  This Power of Attorney shall remain in full force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effect until the undersigned is no longer required to file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 and 5 and Form 144 (including amendments thereto) with respect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Company in a signed writing delivered to such attorney-in-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11th day of August 2026.</w:t>
      </w:r>
    </w:p>
    <w:p>
      <w:pPr>
        <w:pStyle w:val="PreformattedText"/>
        <w:bidi w:val="0"/>
        <w:spacing w:before="0" w:after="283"/>
        <w:jc w:val="left"/>
        <w:rPr/>
      </w:pPr>
      <w:r>
        <w:rPr/>
        <w:t>/s/ Chad Crawford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0456" TargetMode="External"/><Relationship Id="rId3" Type="http://schemas.openxmlformats.org/officeDocument/2006/relationships/hyperlink" Target="http://www.sec.gov/cgi-bin/browse-edgar?action=getcompany&amp;CIK=000106729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1191</Words>
  <Characters>6562</Characters>
  <CharactersWithSpaces>7659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